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84CBE" w:rsidRPr="006667BE" w:rsidRDefault="00966500">
      <w:r w:rsidRPr="006667BE">
        <w:rPr>
          <w:noProof/>
        </w:rPr>
        <w:drawing>
          <wp:inline distT="0" distB="0" distL="0" distR="0">
            <wp:extent cx="5760720" cy="8151495"/>
            <wp:effectExtent l="0" t="0" r="5080" b="1905"/>
            <wp:docPr id="19703591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359107" name="Image 1970359107"/>
                    <pic:cNvPicPr/>
                  </pic:nvPicPr>
                  <pic:blipFill>
                    <a:blip r:embed="rId5">
                      <a:extLst>
                        <a:ext uri="{28A0092B-C50C-407E-A947-70E740481C1C}">
                          <a14:useLocalDpi xmlns:a14="http://schemas.microsoft.com/office/drawing/2010/main" val="0"/>
                        </a:ext>
                      </a:extLst>
                    </a:blip>
                    <a:stretch>
                      <a:fillRect/>
                    </a:stretch>
                  </pic:blipFill>
                  <pic:spPr>
                    <a:xfrm>
                      <a:off x="0" y="0"/>
                      <a:ext cx="5760720" cy="8151495"/>
                    </a:xfrm>
                    <a:prstGeom prst="rect">
                      <a:avLst/>
                    </a:prstGeom>
                  </pic:spPr>
                </pic:pic>
              </a:graphicData>
            </a:graphic>
          </wp:inline>
        </w:drawing>
      </w:r>
    </w:p>
    <w:p w:rsidR="00A06F17" w:rsidRDefault="00A06F17"/>
    <w:p w:rsidR="00A06F17" w:rsidRDefault="00A06F17"/>
    <w:p w:rsidR="00A06F17" w:rsidRDefault="00A06F17"/>
    <w:p w:rsidR="00A06F17" w:rsidRDefault="00A06F17"/>
    <w:p w:rsidR="00966500" w:rsidRPr="006667BE" w:rsidRDefault="00A06F17">
      <w:r w:rsidRPr="006667BE">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754834</wp:posOffset>
                </wp:positionH>
                <wp:positionV relativeFrom="paragraph">
                  <wp:posOffset>153699</wp:posOffset>
                </wp:positionV>
                <wp:extent cx="4692559" cy="937925"/>
                <wp:effectExtent l="0" t="0" r="6985" b="14605"/>
                <wp:wrapNone/>
                <wp:docPr id="122522255" name="Rectangle : coins arrondis 2"/>
                <wp:cNvGraphicFramePr/>
                <a:graphic xmlns:a="http://schemas.openxmlformats.org/drawingml/2006/main">
                  <a:graphicData uri="http://schemas.microsoft.com/office/word/2010/wordprocessingShape">
                    <wps:wsp>
                      <wps:cNvSpPr/>
                      <wps:spPr>
                        <a:xfrm>
                          <a:off x="0" y="0"/>
                          <a:ext cx="4692559" cy="93792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40181C" id="Rectangle : coins arrondis 2" o:spid="_x0000_s1026" style="position:absolute;margin-left:59.45pt;margin-top:12.1pt;width:369.5pt;height:73.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fluwYgIAABgFAAAOAAAAZHJzL2Uyb0RvYy54bWysVMFu2zAMvQ/YPwi6r3aypF2COkWQosOA&#13;&#10;og3aDj2rshQbkEWNUuJkXz9KdpyiLXYYdpEpkXwinx91ebVvDNsp9DXYgo/Ocs6UlVDWdlPwn083&#13;&#10;X75x5oOwpTBgVcEPyvOrxedPl62bqzFUYEqFjECsn7eu4FUIbp5lXlaqEf4MnLLk1ICNCLTFTVai&#13;&#10;aAm9Mdk4z8+zFrB0CFJ5T6fXnZMvEr7WSoZ7rb0KzBScagtpxbS+xDVbXIr5BoWratmXIf6hikbU&#13;&#10;li4doK5FEGyL9TuoppYIHnQ4k9BkoHUtVeqBuhnlb7p5rIRTqRcix7uBJv//YOXd7tGtkWhonZ97&#13;&#10;MmMXe41N/FJ9bJ/IOgxkqX1gkg4n57PxdDrjTJJv9vWCdpHN7JTt0IfvChoWjYIjbG35QH8kESV2&#13;&#10;tz508cc4Sj4VkaxwMCrWYeyD0qwu6dpxyk76UCuDbCfozwoplQ2jzlWJUnXHo2mep19MRQ0ZqcQE&#13;&#10;GJF1bcyA3QNE7b3H7mrt42OqSvIakvO/FdYlDxnpZrBhSG5qC/gRgKGu+pu7+CNJHTWRpRcoD2tk&#13;&#10;CJ24vZM3NRF+K3xYCyQ1k+5pQsM9LdpAW3DoLc4qwN8fncd4Ehl5OWtpOgruf20FKs7MD0vym40m&#13;&#10;kzhOaTOZXoxpg689L689dtusgH7TiN4CJ5MZ44M5mhqheaZBXsZbySWspLsLLgMeN6vQTS09BVIt&#13;&#10;lymMRsiJcGsfnYzgkdWopaf9s0DXqy6QXu/gOEli/kZ3XWzMtLDcBtB1EuWJ155vGr8knP6piPP9&#13;&#10;ep+iTg/a4g8AAAD//wMAUEsDBBQABgAIAAAAIQC+WrVh4gAAAA8BAAAPAAAAZHJzL2Rvd25yZXYu&#13;&#10;eG1sTE9BTsMwELwj8QdrkXpB1E4oNEnjVKgV4oZo4cDRiU0SNV5HtpuG37Oc4LLS7MzOzpTb2Q5s&#13;&#10;Mj70DiUkSwHMYON0j62Ej/fnuwxYiAq1GhwaCd8mwLa6vipVod0FD2Y6xpaRCYZCSehiHAvOQ9MZ&#13;&#10;q8LSjQaJ+3LeqkjQt1x7dSFzO/BUiEduVY/0oVOj2XWmOR3PVsJtvrv3L2+ijuKUvB4+V2Q4cSkX&#13;&#10;N/N+Q+NpAyyaOf5dwG8Hyg8VBavdGXVgA+Eky0kqIV2lwEiQPaxpUROzTnLgVcn/96h+AAAA//8D&#13;&#10;AFBLAQItABQABgAIAAAAIQC2gziS/gAAAOEBAAATAAAAAAAAAAAAAAAAAAAAAABbQ29udGVudF9U&#13;&#10;eXBlc10ueG1sUEsBAi0AFAAGAAgAAAAhADj9If/WAAAAlAEAAAsAAAAAAAAAAAAAAAAALwEAAF9y&#13;&#10;ZWxzLy5yZWxzUEsBAi0AFAAGAAgAAAAhAP1+W7BiAgAAGAUAAA4AAAAAAAAAAAAAAAAALgIAAGRy&#13;&#10;cy9lMm9Eb2MueG1sUEsBAi0AFAAGAAgAAAAhAL5atWHiAAAADwEAAA8AAAAAAAAAAAAAAAAAvAQA&#13;&#10;AGRycy9kb3ducmV2LnhtbFBLBQYAAAAABAAEAPMAAADLBQAAAAA=&#13;&#10;" fillcolor="#4472c4 [3204]" strokecolor="#09101d [484]" strokeweight="1pt">
                <v:stroke joinstyle="miter"/>
              </v:roundrect>
            </w:pict>
          </mc:Fallback>
        </mc:AlternateContent>
      </w:r>
    </w:p>
    <w:p w:rsidR="00966500" w:rsidRPr="006667BE" w:rsidRDefault="00966500"/>
    <w:p w:rsidR="00966500" w:rsidRPr="006667BE" w:rsidRDefault="00A06F17">
      <w:r w:rsidRPr="006667BE">
        <w:rPr>
          <w:noProof/>
        </w:rPr>
        <mc:AlternateContent>
          <mc:Choice Requires="wps">
            <w:drawing>
              <wp:anchor distT="0" distB="0" distL="114300" distR="114300" simplePos="0" relativeHeight="251660288" behindDoc="0" locked="0" layoutInCell="1" allowOverlap="1">
                <wp:simplePos x="0" y="0"/>
                <wp:positionH relativeFrom="column">
                  <wp:posOffset>754834</wp:posOffset>
                </wp:positionH>
                <wp:positionV relativeFrom="paragraph">
                  <wp:posOffset>117656</wp:posOffset>
                </wp:positionV>
                <wp:extent cx="4601028" cy="512445"/>
                <wp:effectExtent l="0" t="0" r="0" b="0"/>
                <wp:wrapNone/>
                <wp:docPr id="966825116" name="Zone de texte 3"/>
                <wp:cNvGraphicFramePr/>
                <a:graphic xmlns:a="http://schemas.openxmlformats.org/drawingml/2006/main">
                  <a:graphicData uri="http://schemas.microsoft.com/office/word/2010/wordprocessingShape">
                    <wps:wsp>
                      <wps:cNvSpPr txBox="1"/>
                      <wps:spPr>
                        <a:xfrm>
                          <a:off x="0" y="0"/>
                          <a:ext cx="4601028" cy="512445"/>
                        </a:xfrm>
                        <a:prstGeom prst="rect">
                          <a:avLst/>
                        </a:prstGeom>
                        <a:noFill/>
                        <a:ln>
                          <a:noFill/>
                        </a:ln>
                      </wps:spPr>
                      <wps:style>
                        <a:lnRef idx="0">
                          <a:scrgbClr r="0" g="0" b="0"/>
                        </a:lnRef>
                        <a:fillRef idx="0">
                          <a:scrgbClr r="0" g="0" b="0"/>
                        </a:fillRef>
                        <a:effectRef idx="0">
                          <a:scrgbClr r="0" g="0" b="0"/>
                        </a:effectRef>
                        <a:fontRef idx="minor">
                          <a:schemeClr val="accent4"/>
                        </a:fontRef>
                      </wps:style>
                      <wps:txbx>
                        <w:txbxContent>
                          <w:p w:rsidR="00966500" w:rsidRPr="006667BE" w:rsidRDefault="00966500" w:rsidP="00966500">
                            <w:pPr>
                              <w:jc w:val="center"/>
                              <w:rPr>
                                <w:b/>
                                <w:bCs/>
                                <w:color w:val="FFFFFF" w:themeColor="background1"/>
                              </w:rPr>
                            </w:pPr>
                            <w:r w:rsidRPr="006667BE">
                              <w:rPr>
                                <w:b/>
                                <w:bCs/>
                                <w:color w:val="FFFFFF" w:themeColor="background1"/>
                              </w:rPr>
                              <w:t>Présentation des intervenantes et des intervenants</w:t>
                            </w:r>
                          </w:p>
                          <w:p w:rsidR="00966500" w:rsidRPr="006667BE" w:rsidRDefault="00966500" w:rsidP="00966500">
                            <w:pPr>
                              <w:jc w:val="center"/>
                            </w:pPr>
                            <w:r w:rsidRPr="006667BE">
                              <w:rPr>
                                <w:b/>
                                <w:bCs/>
                                <w:color w:val="FFFFFF" w:themeColor="background1"/>
                              </w:rPr>
                              <w:t>Résumés des communications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3" o:spid="_x0000_s1026" type="#_x0000_t202" style="position:absolute;margin-left:59.45pt;margin-top:9.25pt;width:362.3pt;height:4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f3K1ZAIAADMFAAAOAAAAZHJzL2Uyb0RvYy54bWysVN9v0zAQfkfif7D8ztJW2YBq6VQ2DSFN&#13;&#10;28SGeHYdu43k+Mz52qT89ZydtBuDlyFeEvt+33ff+fyib53YGYwN+EpOTyZSGK+hbvy6kt8er999&#13;&#10;kCKS8rVy4E0l9ybKi8XbN+ddmJsZbMDVBgUH8XHehUpuiMK8KKLemFbFEwjGs9ICtor4iuuiRtVx&#13;&#10;9NYVs8nkrOgA64CgTYwsvRqUcpHjW2s03VkbDQlXSa6N8hfzd5W+xeJczdeowqbRYxnqH6poVeM5&#13;&#10;6THUlSIlttj8EaptNEIESyca2gKsbbTJPXA308mLbh42KpjcC4MTwxGm+P/C6tvdQ7hHQf0n6HmA&#13;&#10;CZAuxHlkYeqnt9imP1cqWM8Q7o+wmZ6EZmF5xqXPeNCadafTWVmepjDFk3fASJ8NtCIdKok8loyW&#13;&#10;2t1EGkwPJimZh+vGuTwa538TcMwkKZ5KzCfaO5PsnP9qrGjqXGkSRI3r1aVDMYycOckdHAafg7FD&#13;&#10;MrSc8JW+o0vyNplpr/Q/OuX84Ono3zYeMAOU98CkBnaKGay0Np7KEV07+BzgGEBIeFC/6sc5rqDe&#13;&#10;83gRBubHoK8bnsGNinSvkKnOePD60h1/rIOukjCepNgA/vybPNkzA1krRcerU8n4Y6vQSOG+eObm&#13;&#10;x2lZpl3Ll/L0/Ywv+Fyzeq7x2/YSuLcpPxRB52OyJ3c4WoT2O2/5MmVllfKac1eSDsdLGqbLr4Q2&#13;&#10;y2U24u0Kim78Q9ApdII4Meyx/64wjDQkJvAtHJZMzV+wcbBNnh6WWwLbZKomgAdUR+B5MzPZx1ck&#13;&#10;rf7ze7Z6eusWvwAAAP//AwBQSwMEFAAGAAgAAAAhACDOkGHgAAAADgEAAA8AAABkcnMvZG93bnJl&#13;&#10;di54bWxMT0FuwjAQvCP1D9ZW6g1sKFRJiIMQqNdWpQWpNxMvSdR4HcWGpL/v9tReVjPa2dmZfDO6&#13;&#10;VtywD40nDfOZAoFUettQpeHj/XmagAjRkDWtJ9TwjQE2xd0kN5n1A73h7RArwSYUMqOhjrHLpAxl&#13;&#10;jc6Eme+QeHfxvTORaV9J25uBzV0rF0o9SWca4g+16XBXY/l1uDoNx5fL52mpXqu9W3WDH5Ukl0qt&#13;&#10;H+7H/ZrHdg0i4hj/LuC3A+eHgoOd/ZVsEC3zeZKylEGyAsGCZPnI4KwhTRcgi1z+r1H8AAAA//8D&#13;&#10;AFBLAQItABQABgAIAAAAIQC2gziS/gAAAOEBAAATAAAAAAAAAAAAAAAAAAAAAABbQ29udGVudF9U&#13;&#10;eXBlc10ueG1sUEsBAi0AFAAGAAgAAAAhADj9If/WAAAAlAEAAAsAAAAAAAAAAAAAAAAALwEAAF9y&#13;&#10;ZWxzLy5yZWxzUEsBAi0AFAAGAAgAAAAhAFN/crVkAgAAMwUAAA4AAAAAAAAAAAAAAAAALgIAAGRy&#13;&#10;cy9lMm9Eb2MueG1sUEsBAi0AFAAGAAgAAAAhACDOkGHgAAAADgEAAA8AAAAAAAAAAAAAAAAAvgQA&#13;&#10;AGRycy9kb3ducmV2LnhtbFBLBQYAAAAABAAEAPMAAADLBQAAAAA=&#13;&#10;" filled="f" stroked="f">
                <v:textbox>
                  <w:txbxContent>
                    <w:p w:rsidR="00966500" w:rsidRPr="006667BE" w:rsidRDefault="00966500" w:rsidP="00966500">
                      <w:pPr>
                        <w:jc w:val="center"/>
                        <w:rPr>
                          <w:b/>
                          <w:bCs/>
                          <w:color w:val="FFFFFF" w:themeColor="background1"/>
                        </w:rPr>
                      </w:pPr>
                      <w:r w:rsidRPr="006667BE">
                        <w:rPr>
                          <w:b/>
                          <w:bCs/>
                          <w:color w:val="FFFFFF" w:themeColor="background1"/>
                        </w:rPr>
                        <w:t>Présentation des intervenantes et des intervenants</w:t>
                      </w:r>
                    </w:p>
                    <w:p w:rsidR="00966500" w:rsidRPr="006667BE" w:rsidRDefault="00966500" w:rsidP="00966500">
                      <w:pPr>
                        <w:jc w:val="center"/>
                      </w:pPr>
                      <w:r w:rsidRPr="006667BE">
                        <w:rPr>
                          <w:b/>
                          <w:bCs/>
                          <w:color w:val="FFFFFF" w:themeColor="background1"/>
                        </w:rPr>
                        <w:t>Résumés des communications</w:t>
                      </w:r>
                    </w:p>
                  </w:txbxContent>
                </v:textbox>
              </v:shape>
            </w:pict>
          </mc:Fallback>
        </mc:AlternateContent>
      </w:r>
    </w:p>
    <w:p w:rsidR="00966500" w:rsidRPr="006667BE" w:rsidRDefault="00966500" w:rsidP="00966500">
      <w:pPr>
        <w:jc w:val="center"/>
      </w:pPr>
      <w:r w:rsidRPr="006667BE">
        <w:t>Présentations des intervenantes et des intervenants</w:t>
      </w:r>
    </w:p>
    <w:p w:rsidR="00966500" w:rsidRPr="006667BE" w:rsidRDefault="00966500" w:rsidP="00966500">
      <w:pPr>
        <w:jc w:val="center"/>
      </w:pPr>
      <w:r w:rsidRPr="006667BE">
        <w:t>Résumé</w:t>
      </w:r>
    </w:p>
    <w:p w:rsidR="00966500" w:rsidRPr="006667BE" w:rsidRDefault="00966500" w:rsidP="00966500">
      <w:pPr>
        <w:jc w:val="center"/>
      </w:pPr>
    </w:p>
    <w:p w:rsidR="00966500" w:rsidRPr="006667BE" w:rsidRDefault="00966500" w:rsidP="00966500">
      <w:pPr>
        <w:jc w:val="center"/>
      </w:pPr>
    </w:p>
    <w:p w:rsidR="00966500" w:rsidRPr="006667BE" w:rsidRDefault="00966500" w:rsidP="00966500">
      <w:pPr>
        <w:jc w:val="center"/>
      </w:pPr>
    </w:p>
    <w:p w:rsidR="00966500" w:rsidRPr="006667BE" w:rsidRDefault="00966500" w:rsidP="00966500">
      <w:pPr>
        <w:jc w:val="center"/>
      </w:pPr>
    </w:p>
    <w:p w:rsidR="009D73B4" w:rsidRDefault="009D73B4" w:rsidP="00C56C44">
      <w:pPr>
        <w:pStyle w:val="Titre2"/>
        <w:pBdr>
          <w:top w:val="single" w:sz="4" w:space="1" w:color="auto"/>
          <w:left w:val="single" w:sz="4" w:space="4" w:color="auto"/>
          <w:bottom w:val="single" w:sz="4" w:space="1" w:color="auto"/>
          <w:right w:val="single" w:sz="4" w:space="4" w:color="auto"/>
        </w:pBdr>
        <w:rPr>
          <w:rFonts w:cstheme="minorHAnsi"/>
          <w:b/>
          <w:color w:val="0070C0"/>
          <w:sz w:val="24"/>
          <w:szCs w:val="24"/>
        </w:rPr>
      </w:pPr>
      <w:r>
        <w:rPr>
          <w:rFonts w:cstheme="minorHAnsi"/>
          <w:b/>
          <w:color w:val="0070C0"/>
          <w:sz w:val="24"/>
          <w:szCs w:val="24"/>
        </w:rPr>
        <w:t>Leslie Amiot</w:t>
      </w:r>
    </w:p>
    <w:p w:rsidR="00C56C44" w:rsidRPr="009D73B4" w:rsidRDefault="00C56C44" w:rsidP="00C56C44">
      <w:pPr>
        <w:pStyle w:val="Titre2"/>
        <w:pBdr>
          <w:top w:val="single" w:sz="4" w:space="1" w:color="auto"/>
          <w:left w:val="single" w:sz="4" w:space="4" w:color="auto"/>
          <w:bottom w:val="single" w:sz="4" w:space="1" w:color="auto"/>
          <w:right w:val="single" w:sz="4" w:space="4" w:color="auto"/>
        </w:pBdr>
        <w:rPr>
          <w:rFonts w:cstheme="minorHAnsi"/>
          <w:bCs/>
          <w:color w:val="0070C0"/>
          <w:sz w:val="24"/>
          <w:szCs w:val="24"/>
        </w:rPr>
      </w:pPr>
      <w:r w:rsidRPr="009D73B4">
        <w:rPr>
          <w:rFonts w:cstheme="minorHAnsi"/>
          <w:bCs/>
          <w:color w:val="0070C0"/>
          <w:sz w:val="24"/>
          <w:szCs w:val="24"/>
        </w:rPr>
        <w:t>Rendre l’enseignement supérieur capacitant : entre recherche et retour d’expérience à l’Université de Limoges</w:t>
      </w:r>
    </w:p>
    <w:p w:rsidR="00C56C44" w:rsidRPr="006667BE" w:rsidRDefault="00C56C44" w:rsidP="00C56C44"/>
    <w:p w:rsidR="00966500" w:rsidRPr="006667BE" w:rsidRDefault="00966500" w:rsidP="00966500">
      <w:pPr>
        <w:jc w:val="both"/>
        <w:rPr>
          <w:sz w:val="22"/>
          <w:szCs w:val="22"/>
        </w:rPr>
      </w:pPr>
      <w:r w:rsidRPr="006667BE">
        <w:rPr>
          <w:b/>
          <w:iCs/>
          <w:sz w:val="22"/>
          <w:szCs w:val="22"/>
        </w:rPr>
        <w:t>Leslie</w:t>
      </w:r>
      <w:r w:rsidR="005A03BD" w:rsidRPr="006667BE">
        <w:rPr>
          <w:b/>
          <w:iCs/>
          <w:sz w:val="22"/>
          <w:szCs w:val="22"/>
        </w:rPr>
        <w:t xml:space="preserve"> AMIOT</w:t>
      </w:r>
      <w:r w:rsidRPr="006667BE">
        <w:rPr>
          <w:sz w:val="22"/>
          <w:szCs w:val="22"/>
        </w:rPr>
        <w:t xml:space="preserve"> est Maîtresse de conférences en Psychologie et éducation à l’INSPE de l’académie de Limoges et chercheure au sein du Laboratoire </w:t>
      </w:r>
      <w:proofErr w:type="spellStart"/>
      <w:r w:rsidRPr="006667BE">
        <w:rPr>
          <w:sz w:val="22"/>
          <w:szCs w:val="22"/>
        </w:rPr>
        <w:t>Education</w:t>
      </w:r>
      <w:proofErr w:type="spellEnd"/>
      <w:r w:rsidRPr="006667BE">
        <w:rPr>
          <w:sz w:val="22"/>
          <w:szCs w:val="22"/>
        </w:rPr>
        <w:t xml:space="preserve"> et Diversités en Espaces Francophones (</w:t>
      </w:r>
      <w:proofErr w:type="spellStart"/>
      <w:r w:rsidRPr="006667BE">
        <w:rPr>
          <w:sz w:val="22"/>
          <w:szCs w:val="22"/>
        </w:rPr>
        <w:t>FrED</w:t>
      </w:r>
      <w:proofErr w:type="spellEnd"/>
      <w:r w:rsidRPr="006667BE">
        <w:rPr>
          <w:sz w:val="22"/>
          <w:szCs w:val="22"/>
        </w:rPr>
        <w:t xml:space="preserve">, UR-20199). Ses recherches s’intéressent aux élèves à Besoins </w:t>
      </w:r>
      <w:proofErr w:type="spellStart"/>
      <w:r w:rsidRPr="006667BE">
        <w:rPr>
          <w:sz w:val="22"/>
          <w:szCs w:val="22"/>
        </w:rPr>
        <w:t>Educatifs</w:t>
      </w:r>
      <w:proofErr w:type="spellEnd"/>
      <w:r w:rsidRPr="006667BE">
        <w:rPr>
          <w:sz w:val="22"/>
          <w:szCs w:val="22"/>
        </w:rPr>
        <w:t xml:space="preserve"> Particuliers et plus particulièrement à ceux qui ont un Trouble du Neurodéveloppement (de la maternelle à l’Université) et mieux caractériser leurs besoins pour proposer des stratégies d’enseignement ou des modalités d’accompagnement pertinentes.</w:t>
      </w:r>
    </w:p>
    <w:p w:rsidR="00C56C44" w:rsidRPr="006667BE" w:rsidRDefault="00C56C44" w:rsidP="00966500">
      <w:pPr>
        <w:jc w:val="both"/>
        <w:rPr>
          <w:sz w:val="22"/>
          <w:szCs w:val="22"/>
        </w:rPr>
      </w:pPr>
    </w:p>
    <w:p w:rsidR="00C56C44" w:rsidRPr="006667BE" w:rsidRDefault="00C56C44" w:rsidP="00C56C44">
      <w:pPr>
        <w:pStyle w:val="Titre2"/>
        <w:rPr>
          <w:b/>
          <w:color w:val="000000" w:themeColor="text1"/>
          <w:sz w:val="22"/>
          <w:szCs w:val="22"/>
        </w:rPr>
      </w:pPr>
      <w:r w:rsidRPr="006667BE">
        <w:rPr>
          <w:b/>
          <w:color w:val="000000" w:themeColor="text1"/>
          <w:sz w:val="22"/>
          <w:szCs w:val="22"/>
        </w:rPr>
        <w:t>Rendre l’enseignement supérieur capacitant : entre recherche et retour d’expérience à l’Université de Limoges</w:t>
      </w:r>
    </w:p>
    <w:p w:rsidR="00C56C44" w:rsidRPr="006667BE" w:rsidRDefault="00C56C44" w:rsidP="00C56C44">
      <w:pPr>
        <w:rPr>
          <w:sz w:val="22"/>
          <w:szCs w:val="22"/>
        </w:rPr>
      </w:pPr>
    </w:p>
    <w:p w:rsidR="00C56C44" w:rsidRPr="006667BE" w:rsidRDefault="00C56C44" w:rsidP="00C56C44">
      <w:pPr>
        <w:jc w:val="both"/>
        <w:rPr>
          <w:sz w:val="22"/>
          <w:szCs w:val="22"/>
        </w:rPr>
      </w:pPr>
      <w:r w:rsidRPr="006667BE">
        <w:rPr>
          <w:sz w:val="22"/>
          <w:szCs w:val="22"/>
        </w:rPr>
        <w:t xml:space="preserve">En France, la scolarisation des étudiants en situation de handicap (ESH) dans l’enseignement supérieur a connu une progression significative au cours des vingt dernières années : effectif multiplié par 8,5 entre 2003 et 2023 (MESR-DGESIP, 2025). Si cette dynamique reflète un engagement croissant des établissements supérieurs, elle met aussi en avant des défis persistants en matière d’accompagnement et de réussite académique (Perez &amp; </w:t>
      </w:r>
      <w:proofErr w:type="spellStart"/>
      <w:r w:rsidRPr="006667BE">
        <w:rPr>
          <w:sz w:val="22"/>
          <w:szCs w:val="22"/>
        </w:rPr>
        <w:t>Suau</w:t>
      </w:r>
      <w:proofErr w:type="spellEnd"/>
      <w:r w:rsidRPr="006667BE">
        <w:rPr>
          <w:sz w:val="22"/>
          <w:szCs w:val="22"/>
        </w:rPr>
        <w:t>, 2025). À l’Université de Limoges, comme au niveau national, le nombre d’ESH a fortement progressé (env. 4% des effectifs étudiants). Face à cette réalité, nous nous sommes interrogées sur la manière de développer un environnement capacitant qui réponde aux besoins des étudiants mais également aux besoins des professionnels qui les accompagnent.</w:t>
      </w:r>
    </w:p>
    <w:p w:rsidR="00C56C44" w:rsidRPr="006667BE" w:rsidRDefault="00C56C44" w:rsidP="00C56C44">
      <w:pPr>
        <w:jc w:val="both"/>
        <w:rPr>
          <w:sz w:val="22"/>
          <w:szCs w:val="22"/>
        </w:rPr>
      </w:pPr>
      <w:r w:rsidRPr="006667BE">
        <w:rPr>
          <w:sz w:val="22"/>
          <w:szCs w:val="22"/>
        </w:rPr>
        <w:t xml:space="preserve">Afin de déterminer les besoins des enseignants, une enquête a été adressée à l’ensemble des enseignants universitaires par le Service d’Accueil et d’Accompagnement des </w:t>
      </w:r>
      <w:proofErr w:type="spellStart"/>
      <w:r w:rsidRPr="006667BE">
        <w:rPr>
          <w:sz w:val="22"/>
          <w:szCs w:val="22"/>
        </w:rPr>
        <w:t>Etudiants</w:t>
      </w:r>
      <w:proofErr w:type="spellEnd"/>
      <w:r w:rsidRPr="006667BE">
        <w:rPr>
          <w:sz w:val="22"/>
          <w:szCs w:val="22"/>
        </w:rPr>
        <w:t xml:space="preserve"> en situation de Handicap de l’UNILIM permettant de faire un état des lieux de l’inclusion à l'université. Environ. 20% des personnels enseignants ont répondu à l’enquête. L’analyse des résultats auprès des enseignants du supérieur recoupe les besoins exprimés par les enseignants du 1</w:t>
      </w:r>
      <w:r w:rsidRPr="006667BE">
        <w:rPr>
          <w:sz w:val="22"/>
          <w:szCs w:val="22"/>
          <w:vertAlign w:val="superscript"/>
        </w:rPr>
        <w:t>er</w:t>
      </w:r>
      <w:r w:rsidRPr="006667BE">
        <w:rPr>
          <w:sz w:val="22"/>
          <w:szCs w:val="22"/>
        </w:rPr>
        <w:t xml:space="preserve"> et 2</w:t>
      </w:r>
      <w:r w:rsidRPr="006667BE">
        <w:rPr>
          <w:sz w:val="22"/>
          <w:szCs w:val="22"/>
          <w:vertAlign w:val="superscript"/>
        </w:rPr>
        <w:t>nd</w:t>
      </w:r>
      <w:r w:rsidRPr="006667BE">
        <w:rPr>
          <w:sz w:val="22"/>
          <w:szCs w:val="22"/>
        </w:rPr>
        <w:t xml:space="preserve"> degré dans d’autres contextes comme rapportés par Jury et al. (2025). L’exploitation de ces besoins a débouché sur la mise en place de deux axes majeurs : </w:t>
      </w:r>
    </w:p>
    <w:p w:rsidR="00C56C44" w:rsidRPr="006667BE" w:rsidRDefault="00C56C44" w:rsidP="00C56C44">
      <w:pPr>
        <w:pStyle w:val="Paragraphedeliste"/>
        <w:numPr>
          <w:ilvl w:val="0"/>
          <w:numId w:val="1"/>
        </w:numPr>
        <w:jc w:val="both"/>
      </w:pPr>
      <w:r w:rsidRPr="006667BE">
        <w:t xml:space="preserve">Une campagne de sensibilisation autour de la neurodiversité. </w:t>
      </w:r>
    </w:p>
    <w:p w:rsidR="00C56C44" w:rsidRPr="006667BE" w:rsidRDefault="00C56C44" w:rsidP="00C56C44">
      <w:pPr>
        <w:pStyle w:val="Paragraphedeliste"/>
        <w:numPr>
          <w:ilvl w:val="0"/>
          <w:numId w:val="1"/>
        </w:numPr>
        <w:jc w:val="both"/>
      </w:pPr>
      <w:r w:rsidRPr="006667BE">
        <w:t>Des actions de formation professionnelle visant à outiller les enseignants pour mieux répondre aux besoins spécifiques des étudiants.</w:t>
      </w:r>
    </w:p>
    <w:p w:rsidR="00C56C44" w:rsidRPr="006667BE" w:rsidRDefault="00C56C44" w:rsidP="00C56C44">
      <w:pPr>
        <w:jc w:val="both"/>
        <w:rPr>
          <w:sz w:val="22"/>
          <w:szCs w:val="22"/>
        </w:rPr>
      </w:pPr>
      <w:r w:rsidRPr="006667BE">
        <w:rPr>
          <w:sz w:val="22"/>
          <w:szCs w:val="22"/>
        </w:rPr>
        <w:t>Parallèlement, d'autres actions ont été mises en œuvre pour répondre aux besoins d'étudiants pour leur permettre d'accéder à l'Université ou s'y sentir bien.</w:t>
      </w:r>
    </w:p>
    <w:p w:rsidR="00C56C44" w:rsidRPr="006667BE" w:rsidRDefault="00C56C44" w:rsidP="00C56C44">
      <w:pPr>
        <w:jc w:val="both"/>
        <w:rPr>
          <w:sz w:val="22"/>
          <w:szCs w:val="22"/>
        </w:rPr>
      </w:pPr>
      <w:r w:rsidRPr="006667BE">
        <w:rPr>
          <w:sz w:val="22"/>
          <w:szCs w:val="22"/>
        </w:rPr>
        <w:t>Nous reviendrons sur ces initiatives mais aussi sur les constats d’appropriation de ces dispositifs par les professionnels. Nous interrogerons les modalités de mobilisation et d’engagement des acteurs de terrain, ainsi que l’efficacité des leviers proposés pour garantir la réussite de tous les étudiants.</w:t>
      </w:r>
    </w:p>
    <w:p w:rsidR="00C56C44" w:rsidRPr="006667BE" w:rsidRDefault="00C56C44" w:rsidP="00C56C44">
      <w:pPr>
        <w:jc w:val="both"/>
        <w:rPr>
          <w:sz w:val="22"/>
          <w:szCs w:val="22"/>
        </w:rPr>
      </w:pPr>
    </w:p>
    <w:p w:rsidR="00C56C44" w:rsidRPr="006667BE" w:rsidRDefault="00C56C44" w:rsidP="00C56C44">
      <w:pPr>
        <w:jc w:val="both"/>
        <w:rPr>
          <w:b/>
          <w:sz w:val="22"/>
          <w:szCs w:val="22"/>
        </w:rPr>
      </w:pPr>
      <w:r w:rsidRPr="006667BE">
        <w:rPr>
          <w:b/>
          <w:sz w:val="22"/>
          <w:szCs w:val="22"/>
        </w:rPr>
        <w:t>Mots-clés : enseignement supérieur ; inclusion ; neurodiversité ; sensibilisation ; formation</w:t>
      </w:r>
    </w:p>
    <w:p w:rsidR="00C56C44" w:rsidRPr="006667BE" w:rsidRDefault="00C56C44" w:rsidP="00C56C44">
      <w:pPr>
        <w:jc w:val="both"/>
        <w:rPr>
          <w:sz w:val="22"/>
          <w:szCs w:val="22"/>
        </w:rPr>
      </w:pPr>
    </w:p>
    <w:p w:rsidR="00C56C44" w:rsidRPr="006667BE" w:rsidRDefault="00C56C44" w:rsidP="00C56C44">
      <w:pPr>
        <w:jc w:val="both"/>
        <w:rPr>
          <w:b/>
          <w:sz w:val="22"/>
          <w:szCs w:val="22"/>
        </w:rPr>
      </w:pPr>
      <w:r w:rsidRPr="006667BE">
        <w:rPr>
          <w:b/>
          <w:sz w:val="22"/>
          <w:szCs w:val="22"/>
        </w:rPr>
        <w:t>Références bibliographiques</w:t>
      </w:r>
    </w:p>
    <w:p w:rsidR="00C56C44" w:rsidRPr="006667BE" w:rsidRDefault="00C56C44" w:rsidP="00C56C44">
      <w:pPr>
        <w:pStyle w:val="Titre2"/>
        <w:numPr>
          <w:ilvl w:val="0"/>
          <w:numId w:val="2"/>
        </w:numPr>
        <w:shd w:val="clear" w:color="auto" w:fill="FFFFFF"/>
        <w:tabs>
          <w:tab w:val="num" w:pos="360"/>
        </w:tabs>
        <w:spacing w:before="0"/>
        <w:ind w:left="0" w:firstLine="0"/>
        <w:jc w:val="both"/>
        <w:rPr>
          <w:rFonts w:cstheme="minorHAnsi"/>
          <w:color w:val="auto"/>
          <w:sz w:val="22"/>
          <w:szCs w:val="22"/>
        </w:rPr>
      </w:pPr>
      <w:r w:rsidRPr="006667BE">
        <w:rPr>
          <w:rFonts w:cstheme="minorHAnsi"/>
          <w:color w:val="auto"/>
          <w:sz w:val="22"/>
          <w:szCs w:val="22"/>
          <w:lang w:val="en-US"/>
        </w:rPr>
        <w:lastRenderedPageBreak/>
        <w:t xml:space="preserve">Jury, M., </w:t>
      </w:r>
      <w:proofErr w:type="spellStart"/>
      <w:r w:rsidRPr="006667BE">
        <w:rPr>
          <w:rFonts w:cstheme="minorHAnsi"/>
          <w:color w:val="auto"/>
          <w:sz w:val="22"/>
          <w:szCs w:val="22"/>
          <w:lang w:val="en-US"/>
        </w:rPr>
        <w:t>Cèbe</w:t>
      </w:r>
      <w:proofErr w:type="spellEnd"/>
      <w:r w:rsidRPr="006667BE">
        <w:rPr>
          <w:rFonts w:cstheme="minorHAnsi"/>
          <w:color w:val="auto"/>
          <w:sz w:val="22"/>
          <w:szCs w:val="22"/>
          <w:lang w:val="en-US"/>
        </w:rPr>
        <w:t xml:space="preserve">, S., Massy, C., </w:t>
      </w:r>
      <w:proofErr w:type="spellStart"/>
      <w:r w:rsidRPr="006667BE">
        <w:rPr>
          <w:rFonts w:cstheme="minorHAnsi"/>
          <w:color w:val="auto"/>
          <w:sz w:val="22"/>
          <w:szCs w:val="22"/>
          <w:lang w:val="en-US"/>
        </w:rPr>
        <w:t>Barbat</w:t>
      </w:r>
      <w:proofErr w:type="spellEnd"/>
      <w:r w:rsidRPr="006667BE">
        <w:rPr>
          <w:rFonts w:cstheme="minorHAnsi"/>
          <w:color w:val="auto"/>
          <w:sz w:val="22"/>
          <w:szCs w:val="22"/>
          <w:lang w:val="en-US"/>
        </w:rPr>
        <w:t xml:space="preserve">, J., </w:t>
      </w:r>
      <w:proofErr w:type="spellStart"/>
      <w:r w:rsidRPr="006667BE">
        <w:rPr>
          <w:rFonts w:cstheme="minorHAnsi"/>
          <w:color w:val="auto"/>
          <w:sz w:val="22"/>
          <w:szCs w:val="22"/>
          <w:lang w:val="en-US"/>
        </w:rPr>
        <w:t>Gaillart</w:t>
      </w:r>
      <w:proofErr w:type="spellEnd"/>
      <w:r w:rsidRPr="006667BE">
        <w:rPr>
          <w:rFonts w:cstheme="minorHAnsi"/>
          <w:color w:val="auto"/>
          <w:sz w:val="22"/>
          <w:szCs w:val="22"/>
          <w:lang w:val="en-US"/>
        </w:rPr>
        <w:t xml:space="preserve">, P. &amp; </w:t>
      </w:r>
      <w:proofErr w:type="spellStart"/>
      <w:r w:rsidRPr="006667BE">
        <w:rPr>
          <w:rFonts w:cstheme="minorHAnsi"/>
          <w:color w:val="auto"/>
          <w:sz w:val="22"/>
          <w:szCs w:val="22"/>
          <w:lang w:val="en-US"/>
        </w:rPr>
        <w:t>Curien</w:t>
      </w:r>
      <w:proofErr w:type="spellEnd"/>
      <w:r w:rsidRPr="006667BE">
        <w:rPr>
          <w:rFonts w:cstheme="minorHAnsi"/>
          <w:color w:val="auto"/>
          <w:sz w:val="22"/>
          <w:szCs w:val="22"/>
          <w:lang w:val="en-US"/>
        </w:rPr>
        <w:t xml:space="preserve">, F. (2025). </w:t>
      </w:r>
      <w:r w:rsidRPr="006667BE">
        <w:rPr>
          <w:rFonts w:cstheme="minorHAnsi"/>
          <w:color w:val="auto"/>
          <w:sz w:val="22"/>
          <w:szCs w:val="22"/>
        </w:rPr>
        <w:t>Formation des enseignants français à la scolarisation inclusive, où en sommes-</w:t>
      </w:r>
      <w:proofErr w:type="gramStart"/>
      <w:r w:rsidRPr="006667BE">
        <w:rPr>
          <w:rFonts w:cstheme="minorHAnsi"/>
          <w:color w:val="auto"/>
          <w:sz w:val="22"/>
          <w:szCs w:val="22"/>
        </w:rPr>
        <w:t>nous ?,</w:t>
      </w:r>
      <w:proofErr w:type="gramEnd"/>
      <w:r w:rsidRPr="006667BE">
        <w:rPr>
          <w:rFonts w:cstheme="minorHAnsi"/>
          <w:color w:val="auto"/>
          <w:sz w:val="22"/>
          <w:szCs w:val="22"/>
        </w:rPr>
        <w:t xml:space="preserve"> ANAE, 194, </w:t>
      </w:r>
    </w:p>
    <w:p w:rsidR="00C56C44" w:rsidRPr="006667BE" w:rsidRDefault="00C56C44" w:rsidP="00C56C44">
      <w:pPr>
        <w:pStyle w:val="Paragraphedeliste"/>
        <w:numPr>
          <w:ilvl w:val="0"/>
          <w:numId w:val="2"/>
        </w:numPr>
        <w:jc w:val="both"/>
      </w:pPr>
      <w:r w:rsidRPr="006667BE">
        <w:t xml:space="preserve">MESR-DGESIP (2025). Les étudiants en situation de handicap dans l’enseignement supérieur. </w:t>
      </w:r>
      <w:proofErr w:type="spellStart"/>
      <w:r w:rsidRPr="006667BE">
        <w:t>Etat</w:t>
      </w:r>
      <w:proofErr w:type="spellEnd"/>
      <w:r w:rsidRPr="006667BE">
        <w:t xml:space="preserve"> de l'Enseignement supérieur, de la Recherche et de l'Innovation en France, n°18.https://publication.enseignementsup-recherche.gouv.fr/eesr/FR/T243/les_etudiants_en_situation_de_handicap_dans_l_enseignement_superieur/#ILL_EESR18_ES_16_01 – </w:t>
      </w:r>
    </w:p>
    <w:p w:rsidR="00C56C44" w:rsidRPr="006667BE" w:rsidRDefault="00C56C44" w:rsidP="00C56C44">
      <w:pPr>
        <w:pStyle w:val="Paragraphedeliste"/>
        <w:numPr>
          <w:ilvl w:val="0"/>
          <w:numId w:val="2"/>
        </w:numPr>
        <w:jc w:val="both"/>
      </w:pPr>
      <w:r w:rsidRPr="006667BE">
        <w:t xml:space="preserve">Pérez, J.-M. et </w:t>
      </w:r>
      <w:proofErr w:type="spellStart"/>
      <w:r w:rsidRPr="006667BE">
        <w:t>Suau</w:t>
      </w:r>
      <w:proofErr w:type="spellEnd"/>
      <w:r w:rsidRPr="006667BE">
        <w:t>, G. (2025). Université inclusive, résistances aux changements et enjeux d’une formation des maîtres de conférences stagiaires. La nouvelle revue - Éducation et société inclusives, 102(1), 139-151. https://doi.org/10.3917/nresi.102.0139.</w:t>
      </w:r>
    </w:p>
    <w:p w:rsidR="00C56C44" w:rsidRPr="006667BE" w:rsidRDefault="00C56C44" w:rsidP="00C56C44">
      <w:pPr>
        <w:pStyle w:val="Paragraphedeliste"/>
        <w:numPr>
          <w:ilvl w:val="0"/>
          <w:numId w:val="2"/>
        </w:numPr>
        <w:jc w:val="both"/>
        <w:rPr>
          <w:rStyle w:val="Lienhypertexte"/>
          <w:color w:val="auto"/>
          <w:u w:val="none"/>
        </w:rPr>
      </w:pPr>
      <w:r w:rsidRPr="006667BE">
        <w:t xml:space="preserve">Université de Limoges (2025). Pour un accompagnement plus inclusif : le projet CAP TND à l’Université de Limoges. </w:t>
      </w:r>
      <w:hyperlink r:id="rId6" w:history="1">
        <w:r w:rsidRPr="006667BE">
          <w:rPr>
            <w:rStyle w:val="Lienhypertexte"/>
          </w:rPr>
          <w:t>https://www.unilim.fr/pour-un-accompagnement-plus-inclusif-le-projet-cap-tnd-a-luniversite-de-limoges/</w:t>
        </w:r>
      </w:hyperlink>
    </w:p>
    <w:p w:rsidR="00C56C44" w:rsidRPr="006667BE" w:rsidRDefault="00C56C44" w:rsidP="00C56C44">
      <w:pPr>
        <w:jc w:val="both"/>
      </w:pPr>
    </w:p>
    <w:p w:rsidR="009D73B4" w:rsidRPr="009D73B4" w:rsidRDefault="009D73B4" w:rsidP="009D73B4">
      <w:pPr>
        <w:pStyle w:val="Titre2"/>
        <w:pBdr>
          <w:top w:val="single" w:sz="4" w:space="1" w:color="auto"/>
          <w:left w:val="single" w:sz="4" w:space="4" w:color="auto"/>
          <w:bottom w:val="single" w:sz="4" w:space="1" w:color="auto"/>
          <w:right w:val="single" w:sz="4" w:space="4" w:color="auto"/>
        </w:pBdr>
        <w:rPr>
          <w:rFonts w:cstheme="minorHAnsi"/>
          <w:b/>
          <w:bCs/>
          <w:color w:val="0070C0"/>
          <w:sz w:val="24"/>
          <w:szCs w:val="24"/>
        </w:rPr>
      </w:pPr>
      <w:proofErr w:type="spellStart"/>
      <w:r w:rsidRPr="009D73B4">
        <w:rPr>
          <w:rFonts w:cstheme="minorHAnsi"/>
          <w:b/>
          <w:bCs/>
          <w:color w:val="0070C0"/>
          <w:sz w:val="24"/>
          <w:szCs w:val="24"/>
        </w:rPr>
        <w:t>Amael</w:t>
      </w:r>
      <w:proofErr w:type="spellEnd"/>
      <w:r w:rsidRPr="009D73B4">
        <w:rPr>
          <w:rFonts w:cstheme="minorHAnsi"/>
          <w:b/>
          <w:bCs/>
          <w:color w:val="0070C0"/>
          <w:sz w:val="24"/>
          <w:szCs w:val="24"/>
        </w:rPr>
        <w:t xml:space="preserve"> André</w:t>
      </w:r>
    </w:p>
    <w:p w:rsidR="005A03BD" w:rsidRPr="009D73B4" w:rsidRDefault="005A03BD" w:rsidP="00C56C44">
      <w:pPr>
        <w:pStyle w:val="Titre2"/>
        <w:pBdr>
          <w:top w:val="single" w:sz="4" w:space="1" w:color="auto"/>
          <w:left w:val="single" w:sz="4" w:space="4" w:color="auto"/>
          <w:bottom w:val="single" w:sz="4" w:space="1" w:color="auto"/>
          <w:right w:val="single" w:sz="4" w:space="4" w:color="auto"/>
        </w:pBdr>
        <w:rPr>
          <w:rFonts w:cstheme="minorHAnsi"/>
          <w:bCs/>
          <w:color w:val="0070C0"/>
          <w:sz w:val="24"/>
          <w:szCs w:val="24"/>
        </w:rPr>
      </w:pPr>
      <w:r w:rsidRPr="009D73B4">
        <w:rPr>
          <w:rFonts w:cstheme="minorHAnsi"/>
          <w:bCs/>
          <w:color w:val="0070C0"/>
          <w:sz w:val="24"/>
          <w:szCs w:val="24"/>
        </w:rPr>
        <w:t>Évaluer l’éducation inclusive à l’université : apports de la psychologie sociale</w:t>
      </w:r>
    </w:p>
    <w:p w:rsidR="00C56C44" w:rsidRPr="006667BE" w:rsidRDefault="00C56C44" w:rsidP="00C56C44">
      <w:pPr>
        <w:jc w:val="both"/>
      </w:pPr>
    </w:p>
    <w:p w:rsidR="005A03BD" w:rsidRPr="006667BE" w:rsidRDefault="005A03BD" w:rsidP="005A03BD">
      <w:pPr>
        <w:shd w:val="clear" w:color="auto" w:fill="FFFFFF"/>
        <w:jc w:val="both"/>
        <w:rPr>
          <w:color w:val="000000" w:themeColor="text1"/>
          <w:sz w:val="22"/>
          <w:szCs w:val="22"/>
        </w:rPr>
      </w:pPr>
      <w:proofErr w:type="spellStart"/>
      <w:r w:rsidRPr="006667BE">
        <w:rPr>
          <w:rFonts w:cs="Times New Roman"/>
          <w:b/>
          <w:bCs/>
          <w:sz w:val="22"/>
          <w:szCs w:val="22"/>
        </w:rPr>
        <w:t>Amael</w:t>
      </w:r>
      <w:proofErr w:type="spellEnd"/>
      <w:r w:rsidRPr="006667BE">
        <w:rPr>
          <w:rFonts w:cs="Times New Roman"/>
          <w:b/>
          <w:bCs/>
          <w:sz w:val="22"/>
          <w:szCs w:val="22"/>
        </w:rPr>
        <w:t xml:space="preserve"> ANDRE</w:t>
      </w:r>
      <w:r w:rsidRPr="006667BE">
        <w:rPr>
          <w:rFonts w:cs="Times New Roman"/>
          <w:b/>
          <w:bCs/>
          <w:sz w:val="22"/>
          <w:szCs w:val="22"/>
        </w:rPr>
        <w:t xml:space="preserve"> </w:t>
      </w:r>
      <w:r w:rsidRPr="006667BE">
        <w:rPr>
          <w:rFonts w:cs="Times New Roman"/>
          <w:sz w:val="22"/>
          <w:szCs w:val="22"/>
        </w:rPr>
        <w:t xml:space="preserve">est </w:t>
      </w:r>
      <w:r w:rsidRPr="006667BE">
        <w:rPr>
          <w:sz w:val="22"/>
          <w:szCs w:val="22"/>
        </w:rPr>
        <w:t>Professeur des Université</w:t>
      </w:r>
      <w:r w:rsidRPr="006667BE">
        <w:rPr>
          <w:sz w:val="22"/>
          <w:szCs w:val="22"/>
        </w:rPr>
        <w:t>s en sciences de l’éducation et de la formation</w:t>
      </w:r>
      <w:r w:rsidR="006667BE">
        <w:rPr>
          <w:sz w:val="22"/>
          <w:szCs w:val="22"/>
        </w:rPr>
        <w:t xml:space="preserve"> à l’INSPE</w:t>
      </w:r>
      <w:r w:rsidR="00FE7FB7">
        <w:rPr>
          <w:sz w:val="22"/>
          <w:szCs w:val="22"/>
        </w:rPr>
        <w:t xml:space="preserve"> de Rouen Normandie</w:t>
      </w:r>
      <w:r w:rsidRPr="006667BE">
        <w:rPr>
          <w:sz w:val="22"/>
          <w:szCs w:val="22"/>
        </w:rPr>
        <w:t xml:space="preserve">. </w:t>
      </w:r>
      <w:r w:rsidRPr="006667BE">
        <w:rPr>
          <w:sz w:val="22"/>
          <w:szCs w:val="22"/>
        </w:rPr>
        <w:t xml:space="preserve"> </w:t>
      </w:r>
      <w:r w:rsidRPr="006667BE">
        <w:rPr>
          <w:color w:val="000000" w:themeColor="text1"/>
          <w:sz w:val="22"/>
          <w:szCs w:val="22"/>
          <w:shd w:val="clear" w:color="auto" w:fill="FFFFFF"/>
        </w:rPr>
        <w:t>M</w:t>
      </w:r>
      <w:r w:rsidRPr="006667BE">
        <w:rPr>
          <w:color w:val="000000" w:themeColor="text1"/>
          <w:sz w:val="22"/>
          <w:szCs w:val="22"/>
          <w:shd w:val="clear" w:color="auto" w:fill="FFFFFF"/>
        </w:rPr>
        <w:t xml:space="preserve">embre du laboratoire CIRNEF (UR 7454), </w:t>
      </w:r>
      <w:r w:rsidRPr="006667BE">
        <w:rPr>
          <w:color w:val="000000" w:themeColor="text1"/>
          <w:sz w:val="22"/>
          <w:szCs w:val="22"/>
          <w:shd w:val="clear" w:color="auto" w:fill="FFFFFF"/>
        </w:rPr>
        <w:t>i</w:t>
      </w:r>
      <w:r w:rsidRPr="006667BE">
        <w:rPr>
          <w:color w:val="000000" w:themeColor="text1"/>
          <w:sz w:val="22"/>
          <w:szCs w:val="22"/>
          <w:shd w:val="clear" w:color="auto" w:fill="FFFFFF"/>
        </w:rPr>
        <w:t xml:space="preserve">l est spécialiste de la </w:t>
      </w:r>
      <w:r w:rsidRPr="006667BE">
        <w:rPr>
          <w:color w:val="000000"/>
          <w:sz w:val="22"/>
          <w:szCs w:val="22"/>
          <w:shd w:val="clear" w:color="auto" w:fill="FFFFFF"/>
        </w:rPr>
        <w:t>diversité en contexte de formation</w:t>
      </w:r>
      <w:r w:rsidRPr="006667BE">
        <w:rPr>
          <w:color w:val="000000"/>
          <w:sz w:val="22"/>
          <w:szCs w:val="22"/>
          <w:shd w:val="clear" w:color="auto" w:fill="FFFFFF"/>
        </w:rPr>
        <w:t>. Il est le</w:t>
      </w:r>
      <w:r w:rsidRPr="006667BE">
        <w:rPr>
          <w:color w:val="000000"/>
          <w:sz w:val="22"/>
          <w:szCs w:val="22"/>
          <w:shd w:val="clear" w:color="auto" w:fill="FFFFFF"/>
        </w:rPr>
        <w:t xml:space="preserve"> </w:t>
      </w:r>
      <w:r w:rsidRPr="006667BE">
        <w:rPr>
          <w:color w:val="000000" w:themeColor="text1"/>
          <w:sz w:val="22"/>
          <w:szCs w:val="22"/>
          <w:shd w:val="clear" w:color="auto" w:fill="FFFFFF"/>
        </w:rPr>
        <w:t xml:space="preserve">porteur du </w:t>
      </w:r>
      <w:r w:rsidRPr="006667BE">
        <w:rPr>
          <w:rStyle w:val="lev"/>
          <w:bCs w:val="0"/>
          <w:color w:val="000000" w:themeColor="text1"/>
          <w:sz w:val="22"/>
          <w:szCs w:val="22"/>
          <w:bdr w:val="none" w:sz="0" w:space="0" w:color="auto" w:frame="1"/>
          <w:shd w:val="clear" w:color="auto" w:fill="FFFFFF"/>
        </w:rPr>
        <w:t>Programme d'investissement d'avenir PIA 3 « 100% IDT : Inclusion, un Défi, un Territoire » (2020-2030)</w:t>
      </w:r>
      <w:r w:rsidRPr="006667BE">
        <w:rPr>
          <w:color w:val="000000" w:themeColor="text1"/>
          <w:sz w:val="22"/>
          <w:szCs w:val="22"/>
          <w:shd w:val="clear" w:color="auto" w:fill="FFFFFF"/>
        </w:rPr>
        <w:t xml:space="preserve"> et membre du p</w:t>
      </w:r>
      <w:r w:rsidRPr="006667BE">
        <w:rPr>
          <w:rStyle w:val="lev"/>
          <w:bCs w:val="0"/>
          <w:color w:val="000000" w:themeColor="text1"/>
          <w:sz w:val="22"/>
          <w:szCs w:val="22"/>
          <w:bdr w:val="none" w:sz="0" w:space="0" w:color="auto" w:frame="1"/>
        </w:rPr>
        <w:t>rojet ORLYSUP « Orientation du lycée au supérieur »</w:t>
      </w:r>
      <w:r w:rsidRPr="006667BE">
        <w:rPr>
          <w:b/>
          <w:color w:val="000000" w:themeColor="text1"/>
          <w:sz w:val="22"/>
          <w:szCs w:val="22"/>
        </w:rPr>
        <w:t xml:space="preserve"> </w:t>
      </w:r>
      <w:r w:rsidRPr="006667BE">
        <w:rPr>
          <w:color w:val="000000" w:themeColor="text1"/>
          <w:sz w:val="22"/>
          <w:szCs w:val="22"/>
        </w:rPr>
        <w:t>(2021-2025) réunissant, dans une même équipe pluridisciplinaire (sciences de l'éducation et de la formation, psychologie, sociologie, économie), des chercheurs qui travaillent sur ces deux segments du système éducatif.</w:t>
      </w:r>
    </w:p>
    <w:p w:rsidR="005A03BD" w:rsidRPr="006667BE" w:rsidRDefault="005A03BD" w:rsidP="005A03BD">
      <w:pPr>
        <w:rPr>
          <w:rFonts w:cs="Times New Roman"/>
          <w:sz w:val="22"/>
          <w:szCs w:val="22"/>
        </w:rPr>
      </w:pPr>
    </w:p>
    <w:p w:rsidR="005A03BD" w:rsidRPr="006667BE" w:rsidRDefault="005A03BD" w:rsidP="005A03BD">
      <w:pPr>
        <w:rPr>
          <w:rFonts w:cs="Times New Roman"/>
          <w:b/>
          <w:bCs/>
          <w:sz w:val="22"/>
          <w:szCs w:val="22"/>
        </w:rPr>
      </w:pPr>
    </w:p>
    <w:p w:rsidR="005A03BD" w:rsidRPr="006667BE" w:rsidRDefault="005A03BD" w:rsidP="005A03BD">
      <w:pPr>
        <w:rPr>
          <w:rFonts w:cs="Times New Roman"/>
          <w:b/>
          <w:bCs/>
          <w:sz w:val="22"/>
          <w:szCs w:val="22"/>
        </w:rPr>
      </w:pPr>
      <w:r w:rsidRPr="006667BE">
        <w:rPr>
          <w:rFonts w:cs="Times New Roman"/>
          <w:b/>
          <w:bCs/>
          <w:sz w:val="22"/>
          <w:szCs w:val="22"/>
        </w:rPr>
        <w:t>Évaluer</w:t>
      </w:r>
      <w:r w:rsidRPr="006667BE">
        <w:rPr>
          <w:rFonts w:cs="Times New Roman"/>
          <w:b/>
          <w:bCs/>
          <w:sz w:val="22"/>
          <w:szCs w:val="22"/>
        </w:rPr>
        <w:t xml:space="preserve"> l’éducation inclusive à l’université : apports de la psychologie sociale</w:t>
      </w:r>
    </w:p>
    <w:p w:rsidR="005A03BD" w:rsidRPr="006667BE" w:rsidRDefault="005A03BD" w:rsidP="005A03BD">
      <w:pPr>
        <w:rPr>
          <w:rFonts w:cs="Times New Roman"/>
          <w:b/>
          <w:bCs/>
          <w:sz w:val="22"/>
          <w:szCs w:val="22"/>
        </w:rPr>
      </w:pPr>
      <w:r w:rsidRPr="006667BE">
        <w:rPr>
          <w:rFonts w:cs="Times New Roman"/>
          <w:b/>
          <w:bCs/>
          <w:sz w:val="22"/>
          <w:szCs w:val="22"/>
        </w:rPr>
        <w:t xml:space="preserve"> </w:t>
      </w:r>
    </w:p>
    <w:p w:rsidR="005A03BD" w:rsidRPr="006667BE" w:rsidRDefault="005A03BD" w:rsidP="005A03BD">
      <w:pPr>
        <w:rPr>
          <w:rFonts w:cs="Times New Roman"/>
          <w:sz w:val="22"/>
          <w:szCs w:val="22"/>
        </w:rPr>
      </w:pPr>
      <w:r w:rsidRPr="006667BE">
        <w:rPr>
          <w:rFonts w:cs="Times New Roman"/>
          <w:sz w:val="22"/>
          <w:szCs w:val="22"/>
        </w:rPr>
        <w:t>L’</w:t>
      </w:r>
      <w:r w:rsidRPr="006667BE">
        <w:rPr>
          <w:rFonts w:cs="Times New Roman"/>
          <w:sz w:val="22"/>
          <w:szCs w:val="22"/>
        </w:rPr>
        <w:t>évaluation de la qualité de l’éducation inclusive dans le système scolaire est une préoccupation majeure au niveau international depuis plus de 10 ans (</w:t>
      </w:r>
      <w:proofErr w:type="spellStart"/>
      <w:r w:rsidRPr="006667BE">
        <w:rPr>
          <w:rFonts w:cs="Times New Roman"/>
          <w:sz w:val="22"/>
          <w:szCs w:val="22"/>
        </w:rPr>
        <w:t>Loreman</w:t>
      </w:r>
      <w:proofErr w:type="spellEnd"/>
      <w:r w:rsidRPr="006667BE">
        <w:rPr>
          <w:rFonts w:cs="Times New Roman"/>
          <w:sz w:val="22"/>
          <w:szCs w:val="22"/>
        </w:rPr>
        <w:t xml:space="preserve">, 2014). Dans cette optique, un ensemble d’indicateurs psychosociaux ont été utilisés et portent des dimensions variées : le bien être des élèves et leur sentiment d’appartenance (Guillemot &amp; </w:t>
      </w:r>
      <w:proofErr w:type="spellStart"/>
      <w:r w:rsidRPr="006667BE">
        <w:rPr>
          <w:rFonts w:cs="Times New Roman"/>
          <w:sz w:val="22"/>
          <w:szCs w:val="22"/>
        </w:rPr>
        <w:t>Hessels</w:t>
      </w:r>
      <w:proofErr w:type="spellEnd"/>
      <w:r w:rsidRPr="006667BE">
        <w:rPr>
          <w:rFonts w:cs="Times New Roman"/>
          <w:sz w:val="22"/>
          <w:szCs w:val="22"/>
        </w:rPr>
        <w:t xml:space="preserve">, 2021), leurs attitudes (André et al., 2018), leur sentiment de compétence (Bear et al., 2002), ou encore leurs interactions sociales (André et al., 2014). Toutefois, à notre connaissance, peu de travaux ont été </w:t>
      </w:r>
      <w:proofErr w:type="gramStart"/>
      <w:r w:rsidRPr="006667BE">
        <w:rPr>
          <w:rFonts w:cs="Times New Roman"/>
          <w:sz w:val="22"/>
          <w:szCs w:val="22"/>
        </w:rPr>
        <w:t>menés</w:t>
      </w:r>
      <w:proofErr w:type="gramEnd"/>
      <w:r w:rsidRPr="006667BE">
        <w:rPr>
          <w:rFonts w:cs="Times New Roman"/>
          <w:sz w:val="22"/>
          <w:szCs w:val="22"/>
        </w:rPr>
        <w:t xml:space="preserve"> sur ce sujet à l’université. Dans cette conférence, nous montrerons que le niveau d’engagement des étudiants peut constituer un indicateur psychosocial clé de la qualité l’éducation inclusive à l’université. Ce dernier est défini par le temps et l’énergie investis par les étudiants dans leur travail universitaire (Appleton et al., 2008) et comprend des dimensions comportementale, cognitive, agentique et sociale. Les théories sociocognitives de la motivation (Eliot &amp; Mc Gregor, 2001 ; Ryan &amp; </w:t>
      </w:r>
      <w:proofErr w:type="spellStart"/>
      <w:r w:rsidRPr="006667BE">
        <w:rPr>
          <w:rFonts w:cs="Times New Roman"/>
          <w:sz w:val="22"/>
          <w:szCs w:val="22"/>
        </w:rPr>
        <w:t>Deci</w:t>
      </w:r>
      <w:proofErr w:type="spellEnd"/>
      <w:r w:rsidRPr="006667BE">
        <w:rPr>
          <w:rFonts w:cs="Times New Roman"/>
          <w:sz w:val="22"/>
          <w:szCs w:val="22"/>
        </w:rPr>
        <w:t xml:space="preserve">, 2020) permettent d’éclairer à la fois les processus internes à l’origine de l’engagement et les facteurs contextuels susceptibles de l’affecter notamment les pratiques pédagogiques des enseignants. Dans cette conférence, ces pratiques seront envisagées à partir du concept de climat engageant qui repose sur une conception universelle de l’éducation inclusive et qui est susceptible, au-delà d’une prise en compte d’une somme d’individualités, de favoriser l’engagement du groupe d’apprenants dans sa diversité. </w:t>
      </w:r>
    </w:p>
    <w:p w:rsidR="005A03BD" w:rsidRPr="006667BE" w:rsidRDefault="005A03BD" w:rsidP="005A03BD">
      <w:pPr>
        <w:ind w:left="284" w:hanging="284"/>
        <w:rPr>
          <w:rFonts w:cs="Times New Roman"/>
          <w:color w:val="403E3F"/>
          <w:sz w:val="22"/>
          <w:szCs w:val="22"/>
          <w:shd w:val="clear" w:color="auto" w:fill="FFFFFF"/>
        </w:rPr>
      </w:pPr>
      <w:r w:rsidRPr="006667BE">
        <w:rPr>
          <w:rStyle w:val="lev"/>
          <w:rFonts w:cs="Times New Roman"/>
          <w:color w:val="403E3F"/>
          <w:sz w:val="22"/>
          <w:szCs w:val="22"/>
          <w:bdr w:val="none" w:sz="0" w:space="0" w:color="auto" w:frame="1"/>
          <w:shd w:val="clear" w:color="auto" w:fill="FFFFFF"/>
        </w:rPr>
        <w:t>André, A</w:t>
      </w:r>
      <w:r w:rsidRPr="006667BE">
        <w:rPr>
          <w:rFonts w:cs="Times New Roman"/>
          <w:color w:val="403E3F"/>
          <w:sz w:val="22"/>
          <w:szCs w:val="22"/>
          <w:shd w:val="clear" w:color="auto" w:fill="FFFFFF"/>
        </w:rPr>
        <w:t>. (2018). </w:t>
      </w:r>
      <w:r w:rsidRPr="006667BE">
        <w:rPr>
          <w:rStyle w:val="Accentuation"/>
          <w:rFonts w:cs="Times New Roman"/>
          <w:color w:val="403E3F"/>
          <w:sz w:val="22"/>
          <w:szCs w:val="22"/>
          <w:bdr w:val="none" w:sz="0" w:space="0" w:color="auto" w:frame="1"/>
          <w:shd w:val="clear" w:color="auto" w:fill="FFFFFF"/>
        </w:rPr>
        <w:t>L’inclusion pour changer l’école</w:t>
      </w:r>
      <w:r w:rsidRPr="006667BE">
        <w:rPr>
          <w:rFonts w:cs="Times New Roman"/>
          <w:color w:val="403E3F"/>
          <w:sz w:val="22"/>
          <w:szCs w:val="22"/>
          <w:shd w:val="clear" w:color="auto" w:fill="FFFFFF"/>
        </w:rPr>
        <w:t xml:space="preserve">. Paris : </w:t>
      </w:r>
      <w:proofErr w:type="spellStart"/>
      <w:r w:rsidRPr="006667BE">
        <w:rPr>
          <w:rFonts w:cs="Times New Roman"/>
          <w:color w:val="403E3F"/>
          <w:sz w:val="22"/>
          <w:szCs w:val="22"/>
          <w:shd w:val="clear" w:color="auto" w:fill="FFFFFF"/>
        </w:rPr>
        <w:t>L’harmattan</w:t>
      </w:r>
      <w:proofErr w:type="spellEnd"/>
    </w:p>
    <w:p w:rsidR="005A03BD" w:rsidRPr="006667BE" w:rsidRDefault="005A03BD" w:rsidP="005A03BD">
      <w:pPr>
        <w:shd w:val="clear" w:color="auto" w:fill="FFFFFF"/>
        <w:ind w:left="284" w:hanging="284"/>
        <w:textAlignment w:val="baseline"/>
        <w:rPr>
          <w:rFonts w:eastAsia="Times New Roman" w:cs="Times New Roman"/>
          <w:color w:val="403E3F"/>
          <w:sz w:val="22"/>
          <w:szCs w:val="22"/>
        </w:rPr>
      </w:pPr>
      <w:r w:rsidRPr="006667BE">
        <w:rPr>
          <w:rFonts w:eastAsia="Times New Roman" w:cs="Times New Roman"/>
          <w:color w:val="403E3F"/>
          <w:sz w:val="22"/>
          <w:szCs w:val="22"/>
          <w:bdr w:val="none" w:sz="0" w:space="0" w:color="auto" w:frame="1"/>
        </w:rPr>
        <w:t>André, A.,</w:t>
      </w:r>
      <w:r w:rsidRPr="006667BE">
        <w:rPr>
          <w:rFonts w:eastAsia="Times New Roman" w:cs="Times New Roman"/>
          <w:color w:val="403E3F"/>
          <w:sz w:val="22"/>
          <w:szCs w:val="22"/>
        </w:rPr>
        <w:t> </w:t>
      </w:r>
      <w:proofErr w:type="spellStart"/>
      <w:r w:rsidRPr="006667BE">
        <w:rPr>
          <w:rFonts w:eastAsia="Times New Roman" w:cs="Times New Roman"/>
          <w:color w:val="403E3F"/>
          <w:sz w:val="22"/>
          <w:szCs w:val="22"/>
        </w:rPr>
        <w:t>Kogut</w:t>
      </w:r>
      <w:proofErr w:type="spellEnd"/>
      <w:r w:rsidRPr="006667BE">
        <w:rPr>
          <w:rFonts w:eastAsia="Times New Roman" w:cs="Times New Roman"/>
          <w:color w:val="403E3F"/>
          <w:sz w:val="22"/>
          <w:szCs w:val="22"/>
        </w:rPr>
        <w:t>, P., Tant, M</w:t>
      </w:r>
      <w:proofErr w:type="spellStart"/>
      <w:r w:rsidRPr="006667BE">
        <w:rPr>
          <w:rFonts w:eastAsia="Times New Roman" w:cs="Times New Roman"/>
          <w:color w:val="403E3F"/>
          <w:sz w:val="22"/>
          <w:szCs w:val="22"/>
        </w:rPr>
        <w:t>, &amp; Midelet</w:t>
      </w:r>
      <w:proofErr w:type="spellEnd"/>
      <w:r w:rsidRPr="006667BE">
        <w:rPr>
          <w:rFonts w:eastAsia="Times New Roman" w:cs="Times New Roman"/>
          <w:color w:val="403E3F"/>
          <w:sz w:val="22"/>
          <w:szCs w:val="22"/>
        </w:rPr>
        <w:t>, J. (2014). Citoyenneté et handicap : le défi inclusif. In A. André (</w:t>
      </w:r>
      <w:proofErr w:type="spellStart"/>
      <w:r w:rsidRPr="006667BE">
        <w:rPr>
          <w:rFonts w:eastAsia="Times New Roman" w:cs="Times New Roman"/>
          <w:color w:val="403E3F"/>
          <w:sz w:val="22"/>
          <w:szCs w:val="22"/>
        </w:rPr>
        <w:t>dir</w:t>
      </w:r>
      <w:proofErr w:type="spellEnd"/>
      <w:r w:rsidRPr="006667BE">
        <w:rPr>
          <w:rFonts w:eastAsia="Times New Roman" w:cs="Times New Roman"/>
          <w:color w:val="403E3F"/>
          <w:sz w:val="22"/>
          <w:szCs w:val="22"/>
        </w:rPr>
        <w:t>.), </w:t>
      </w:r>
      <w:r w:rsidRPr="006667BE">
        <w:rPr>
          <w:rFonts w:eastAsia="Times New Roman" w:cs="Times New Roman"/>
          <w:i/>
          <w:iCs/>
          <w:color w:val="403E3F"/>
          <w:sz w:val="22"/>
          <w:szCs w:val="22"/>
          <w:bdr w:val="none" w:sz="0" w:space="0" w:color="auto" w:frame="1"/>
        </w:rPr>
        <w:t>la citoyenneté</w:t>
      </w:r>
      <w:r w:rsidRPr="006667BE">
        <w:rPr>
          <w:rFonts w:eastAsia="Times New Roman" w:cs="Times New Roman"/>
          <w:color w:val="403E3F"/>
          <w:sz w:val="22"/>
          <w:szCs w:val="22"/>
        </w:rPr>
        <w:t xml:space="preserve"> (pp. 64-82). Paris : revue </w:t>
      </w:r>
      <w:proofErr w:type="spellStart"/>
      <w:r w:rsidRPr="006667BE">
        <w:rPr>
          <w:rFonts w:eastAsia="Times New Roman" w:cs="Times New Roman"/>
          <w:color w:val="403E3F"/>
          <w:sz w:val="22"/>
          <w:szCs w:val="22"/>
        </w:rPr>
        <w:t>eps</w:t>
      </w:r>
      <w:proofErr w:type="spellEnd"/>
      <w:r w:rsidRPr="006667BE">
        <w:rPr>
          <w:rFonts w:eastAsia="Times New Roman" w:cs="Times New Roman"/>
          <w:color w:val="403E3F"/>
          <w:sz w:val="22"/>
          <w:szCs w:val="22"/>
        </w:rPr>
        <w:t>.</w:t>
      </w:r>
    </w:p>
    <w:p w:rsidR="005A03BD" w:rsidRPr="006667BE" w:rsidRDefault="005A03BD" w:rsidP="005A03BD">
      <w:pPr>
        <w:ind w:left="284" w:hanging="284"/>
        <w:rPr>
          <w:rFonts w:cs="Times New Roman"/>
          <w:sz w:val="22"/>
          <w:szCs w:val="22"/>
        </w:rPr>
      </w:pPr>
      <w:r w:rsidRPr="006667BE">
        <w:rPr>
          <w:rFonts w:cs="Times New Roman"/>
          <w:sz w:val="22"/>
          <w:szCs w:val="22"/>
          <w:lang w:val="en-US"/>
        </w:rPr>
        <w:t xml:space="preserve">Bear, G. G., Minke, K. M., &amp; Manning, M. A. (2002). Self-concept of students with learning disabilities: A meta-analysis. </w:t>
      </w:r>
      <w:proofErr w:type="spellStart"/>
      <w:r w:rsidRPr="006667BE">
        <w:rPr>
          <w:rFonts w:cs="Times New Roman"/>
          <w:sz w:val="22"/>
          <w:szCs w:val="22"/>
        </w:rPr>
        <w:t>School</w:t>
      </w:r>
      <w:proofErr w:type="spellEnd"/>
      <w:r w:rsidRPr="006667BE">
        <w:rPr>
          <w:rFonts w:cs="Times New Roman"/>
          <w:sz w:val="22"/>
          <w:szCs w:val="22"/>
        </w:rPr>
        <w:t xml:space="preserve"> Psychology </w:t>
      </w:r>
      <w:proofErr w:type="spellStart"/>
      <w:r w:rsidRPr="006667BE">
        <w:rPr>
          <w:rFonts w:cs="Times New Roman"/>
          <w:sz w:val="22"/>
          <w:szCs w:val="22"/>
        </w:rPr>
        <w:t>Review</w:t>
      </w:r>
      <w:proofErr w:type="spellEnd"/>
      <w:r w:rsidRPr="006667BE">
        <w:rPr>
          <w:rFonts w:cs="Times New Roman"/>
          <w:sz w:val="22"/>
          <w:szCs w:val="22"/>
        </w:rPr>
        <w:t>, 31, 405–427.</w:t>
      </w:r>
    </w:p>
    <w:p w:rsidR="005A03BD" w:rsidRPr="006667BE" w:rsidRDefault="005A03BD" w:rsidP="005A03BD">
      <w:pPr>
        <w:ind w:left="284" w:hanging="284"/>
        <w:rPr>
          <w:rFonts w:cs="Times New Roman"/>
          <w:sz w:val="22"/>
          <w:szCs w:val="22"/>
          <w:lang w:val="en-US"/>
        </w:rPr>
      </w:pPr>
      <w:r w:rsidRPr="006667BE">
        <w:rPr>
          <w:rFonts w:cs="Times New Roman"/>
          <w:sz w:val="22"/>
          <w:szCs w:val="22"/>
          <w:lang w:val="en-US"/>
        </w:rPr>
        <w:t xml:space="preserve">Eliot, A. J. &amp; MC Gregor, H. A. (2001). A 2 x 2 achievement goal framework ». </w:t>
      </w:r>
      <w:r w:rsidRPr="006667BE">
        <w:rPr>
          <w:rFonts w:cs="Times New Roman"/>
          <w:i/>
          <w:iCs/>
          <w:sz w:val="22"/>
          <w:szCs w:val="22"/>
          <w:lang w:val="en-US"/>
        </w:rPr>
        <w:t>Journal of Personality &amp; Social Psychology, 80</w:t>
      </w:r>
      <w:r w:rsidRPr="006667BE">
        <w:rPr>
          <w:rFonts w:cs="Times New Roman"/>
          <w:sz w:val="22"/>
          <w:szCs w:val="22"/>
          <w:lang w:val="en-US"/>
        </w:rPr>
        <w:t>, 501-519.</w:t>
      </w:r>
    </w:p>
    <w:p w:rsidR="005A03BD" w:rsidRPr="006667BE" w:rsidRDefault="005A03BD" w:rsidP="005A03BD">
      <w:pPr>
        <w:ind w:left="284" w:hanging="284"/>
        <w:rPr>
          <w:rFonts w:cs="Times New Roman"/>
          <w:sz w:val="22"/>
          <w:szCs w:val="22"/>
          <w:lang w:val="en-US"/>
        </w:rPr>
      </w:pPr>
      <w:r w:rsidRPr="006667BE">
        <w:rPr>
          <w:rFonts w:cs="Times New Roman"/>
          <w:sz w:val="22"/>
          <w:szCs w:val="22"/>
          <w:shd w:val="clear" w:color="auto" w:fill="FFFFFF"/>
          <w:lang w:val="en-US"/>
        </w:rPr>
        <w:lastRenderedPageBreak/>
        <w:t xml:space="preserve">Guillemot, F., &amp; Hessels, M. G.P. (2021). Validation of the student version of the perceptions of inclusion questionnaire on a sample of </w:t>
      </w:r>
      <w:proofErr w:type="spellStart"/>
      <w:r w:rsidRPr="006667BE">
        <w:rPr>
          <w:rFonts w:cs="Times New Roman"/>
          <w:sz w:val="22"/>
          <w:szCs w:val="22"/>
          <w:shd w:val="clear" w:color="auto" w:fill="FFFFFF"/>
          <w:lang w:val="en-US"/>
        </w:rPr>
        <w:t>french</w:t>
      </w:r>
      <w:proofErr w:type="spellEnd"/>
      <w:r w:rsidRPr="006667BE">
        <w:rPr>
          <w:rFonts w:cs="Times New Roman"/>
          <w:sz w:val="22"/>
          <w:szCs w:val="22"/>
          <w:shd w:val="clear" w:color="auto" w:fill="FFFFFF"/>
          <w:lang w:val="en-US"/>
        </w:rPr>
        <w:t xml:space="preserve"> students. </w:t>
      </w:r>
      <w:r w:rsidRPr="006667BE">
        <w:rPr>
          <w:rStyle w:val="Accentuation"/>
          <w:rFonts w:cs="Times New Roman"/>
          <w:sz w:val="22"/>
          <w:szCs w:val="22"/>
          <w:shd w:val="clear" w:color="auto" w:fill="FFFFFF"/>
          <w:lang w:val="en-US"/>
        </w:rPr>
        <w:t>European Journal of Special Needs Education.</w:t>
      </w:r>
      <w:r w:rsidRPr="006667BE">
        <w:rPr>
          <w:rFonts w:cs="Times New Roman"/>
          <w:sz w:val="22"/>
          <w:szCs w:val="22"/>
          <w:shd w:val="clear" w:color="auto" w:fill="FFFFFF"/>
          <w:lang w:val="en-US"/>
        </w:rPr>
        <w:t> Advance online publication. </w:t>
      </w:r>
      <w:hyperlink r:id="rId7" w:tgtFrame="_blank" w:history="1">
        <w:r w:rsidRPr="006667BE">
          <w:rPr>
            <w:rStyle w:val="Lienhypertexte"/>
            <w:rFonts w:cs="Times New Roman"/>
            <w:sz w:val="22"/>
            <w:szCs w:val="22"/>
            <w:shd w:val="clear" w:color="auto" w:fill="FFFFFF"/>
            <w:lang w:val="en-US"/>
          </w:rPr>
          <w:t>https://doi.org/10.1080/08856257.2021.1961195</w:t>
        </w:r>
      </w:hyperlink>
    </w:p>
    <w:p w:rsidR="005A03BD" w:rsidRPr="006667BE" w:rsidRDefault="005A03BD" w:rsidP="005A03BD">
      <w:pPr>
        <w:shd w:val="clear" w:color="auto" w:fill="FFFFFF"/>
        <w:ind w:left="284" w:hanging="284"/>
        <w:textAlignment w:val="baseline"/>
        <w:rPr>
          <w:rStyle w:val="Lienhypertexte"/>
          <w:rFonts w:cs="Times New Roman"/>
          <w:sz w:val="22"/>
          <w:szCs w:val="22"/>
          <w:lang w:val="en-US"/>
        </w:rPr>
      </w:pPr>
      <w:proofErr w:type="spellStart"/>
      <w:r w:rsidRPr="006667BE">
        <w:rPr>
          <w:rFonts w:cs="Times New Roman"/>
          <w:sz w:val="22"/>
          <w:szCs w:val="22"/>
          <w:lang w:val="en-US"/>
        </w:rPr>
        <w:t>Loreman</w:t>
      </w:r>
      <w:proofErr w:type="spellEnd"/>
      <w:r w:rsidRPr="006667BE">
        <w:rPr>
          <w:rFonts w:cs="Times New Roman"/>
          <w:sz w:val="22"/>
          <w:szCs w:val="22"/>
          <w:lang w:val="en-US"/>
        </w:rPr>
        <w:t xml:space="preserve">, T., </w:t>
      </w:r>
      <w:proofErr w:type="spellStart"/>
      <w:r w:rsidRPr="006667BE">
        <w:rPr>
          <w:rFonts w:cs="Times New Roman"/>
          <w:sz w:val="22"/>
          <w:szCs w:val="22"/>
          <w:lang w:val="en-US"/>
        </w:rPr>
        <w:t>Forlin</w:t>
      </w:r>
      <w:proofErr w:type="spellEnd"/>
      <w:r w:rsidRPr="006667BE">
        <w:rPr>
          <w:rFonts w:cs="Times New Roman"/>
          <w:sz w:val="22"/>
          <w:szCs w:val="22"/>
          <w:lang w:val="en-US"/>
        </w:rPr>
        <w:t xml:space="preserve">, C., &amp; Sharma, U. (2014). Measuring Indicators of Inclusive Education: A Systematic Review of the Literature. </w:t>
      </w:r>
      <w:r w:rsidRPr="006667BE">
        <w:rPr>
          <w:rFonts w:cs="Times New Roman"/>
          <w:i/>
          <w:iCs/>
          <w:sz w:val="22"/>
          <w:szCs w:val="22"/>
          <w:lang w:val="en-US"/>
        </w:rPr>
        <w:t>International Perspectives on Inclusive Education, 3</w:t>
      </w:r>
      <w:r w:rsidRPr="006667BE">
        <w:rPr>
          <w:rFonts w:cs="Times New Roman"/>
          <w:sz w:val="22"/>
          <w:szCs w:val="22"/>
          <w:lang w:val="en-US"/>
        </w:rPr>
        <w:t xml:space="preserve">, 165–87. </w:t>
      </w:r>
      <w:hyperlink r:id="rId8" w:history="1">
        <w:r w:rsidRPr="006667BE">
          <w:rPr>
            <w:rStyle w:val="Lienhypertexte"/>
            <w:rFonts w:cs="Times New Roman"/>
            <w:sz w:val="22"/>
            <w:szCs w:val="22"/>
            <w:lang w:val="en-US"/>
          </w:rPr>
          <w:t>https://doi.org/10.1108/S1479-363620140000003024</w:t>
        </w:r>
      </w:hyperlink>
    </w:p>
    <w:p w:rsidR="005A03BD" w:rsidRPr="006667BE" w:rsidRDefault="005A03BD" w:rsidP="005A03BD">
      <w:pPr>
        <w:ind w:left="284" w:hanging="284"/>
        <w:rPr>
          <w:rFonts w:cs="Times New Roman"/>
          <w:sz w:val="22"/>
          <w:szCs w:val="22"/>
        </w:rPr>
      </w:pPr>
      <w:r w:rsidRPr="006667BE">
        <w:rPr>
          <w:rFonts w:cs="Times New Roman"/>
          <w:sz w:val="22"/>
          <w:szCs w:val="22"/>
          <w:lang w:val="en-US"/>
        </w:rPr>
        <w:t xml:space="preserve">Ryan, R. M., &amp; Deci, E. L. (2020). Intrinsic and extrinsic motivation from a </w:t>
      </w:r>
      <w:proofErr w:type="spellStart"/>
      <w:r w:rsidRPr="006667BE">
        <w:rPr>
          <w:rFonts w:cs="Times New Roman"/>
          <w:sz w:val="22"/>
          <w:szCs w:val="22"/>
          <w:lang w:val="en-US"/>
        </w:rPr>
        <w:t>selfdetermination</w:t>
      </w:r>
      <w:proofErr w:type="spellEnd"/>
      <w:r w:rsidRPr="006667BE">
        <w:rPr>
          <w:rFonts w:cs="Times New Roman"/>
          <w:sz w:val="22"/>
          <w:szCs w:val="22"/>
          <w:lang w:val="en-US"/>
        </w:rPr>
        <w:t xml:space="preserve"> theory perspective: Definitions, theory, practices, and future directions. </w:t>
      </w:r>
      <w:proofErr w:type="spellStart"/>
      <w:r w:rsidRPr="006667BE">
        <w:rPr>
          <w:rFonts w:cs="Times New Roman"/>
          <w:sz w:val="22"/>
          <w:szCs w:val="22"/>
        </w:rPr>
        <w:t>Contemporary</w:t>
      </w:r>
      <w:proofErr w:type="spellEnd"/>
      <w:r w:rsidRPr="006667BE">
        <w:rPr>
          <w:rFonts w:cs="Times New Roman"/>
          <w:sz w:val="22"/>
          <w:szCs w:val="22"/>
        </w:rPr>
        <w:t xml:space="preserve"> </w:t>
      </w:r>
      <w:proofErr w:type="spellStart"/>
      <w:r w:rsidRPr="006667BE">
        <w:rPr>
          <w:rFonts w:cs="Times New Roman"/>
          <w:sz w:val="22"/>
          <w:szCs w:val="22"/>
        </w:rPr>
        <w:t>Educational</w:t>
      </w:r>
      <w:proofErr w:type="spellEnd"/>
      <w:r w:rsidRPr="006667BE">
        <w:rPr>
          <w:rFonts w:cs="Times New Roman"/>
          <w:sz w:val="22"/>
          <w:szCs w:val="22"/>
        </w:rPr>
        <w:t xml:space="preserve"> Psychology, 61, Article 101860. https://doi.org/ 10.1016/j.cedpsych.2020.101860</w:t>
      </w:r>
    </w:p>
    <w:p w:rsidR="005A03BD" w:rsidRDefault="005A03BD" w:rsidP="005A03BD">
      <w:pPr>
        <w:shd w:val="clear" w:color="auto" w:fill="FFFFFF"/>
        <w:textAlignment w:val="baseline"/>
        <w:rPr>
          <w:rFonts w:eastAsia="Times New Roman" w:cs="Times New Roman"/>
          <w:color w:val="403E3F"/>
        </w:rPr>
      </w:pPr>
    </w:p>
    <w:p w:rsidR="00E90641" w:rsidRPr="006667BE" w:rsidRDefault="00E90641" w:rsidP="005A03BD">
      <w:pPr>
        <w:shd w:val="clear" w:color="auto" w:fill="FFFFFF"/>
        <w:textAlignment w:val="baseline"/>
        <w:rPr>
          <w:rFonts w:eastAsia="Times New Roman" w:cs="Times New Roman"/>
          <w:color w:val="403E3F"/>
        </w:rPr>
      </w:pPr>
    </w:p>
    <w:p w:rsidR="009D73B4" w:rsidRPr="009D73B4" w:rsidRDefault="009D73B4" w:rsidP="009D73B4">
      <w:pPr>
        <w:pBdr>
          <w:top w:val="single" w:sz="4" w:space="1" w:color="auto"/>
          <w:left w:val="single" w:sz="4" w:space="4" w:color="auto"/>
          <w:bottom w:val="single" w:sz="4" w:space="1" w:color="auto"/>
          <w:right w:val="single" w:sz="4" w:space="4" w:color="auto"/>
        </w:pBdr>
        <w:rPr>
          <w:b/>
          <w:bCs/>
          <w:color w:val="0070C0"/>
        </w:rPr>
      </w:pPr>
      <w:r w:rsidRPr="009D73B4">
        <w:rPr>
          <w:b/>
          <w:bCs/>
          <w:color w:val="0070C0"/>
        </w:rPr>
        <w:t>Sylvie Canat</w:t>
      </w:r>
    </w:p>
    <w:p w:rsidR="006667BE" w:rsidRPr="009D73B4" w:rsidRDefault="006667BE" w:rsidP="006667BE">
      <w:pPr>
        <w:pBdr>
          <w:top w:val="single" w:sz="4" w:space="1" w:color="auto"/>
          <w:left w:val="single" w:sz="4" w:space="4" w:color="auto"/>
          <w:bottom w:val="single" w:sz="4" w:space="1" w:color="auto"/>
          <w:right w:val="single" w:sz="4" w:space="4" w:color="auto"/>
        </w:pBdr>
        <w:rPr>
          <w:rFonts w:cstheme="minorHAnsi"/>
          <w:color w:val="0070C0"/>
        </w:rPr>
      </w:pPr>
      <w:r w:rsidRPr="009D73B4">
        <w:rPr>
          <w:rFonts w:cstheme="minorHAnsi"/>
          <w:color w:val="0070C0"/>
        </w:rPr>
        <w:t>L’université pensée comme un environnement inclusif et capacitant</w:t>
      </w:r>
    </w:p>
    <w:p w:rsidR="006667BE" w:rsidRPr="006667BE" w:rsidRDefault="006667BE" w:rsidP="00966500">
      <w:pPr>
        <w:rPr>
          <w:sz w:val="22"/>
          <w:szCs w:val="22"/>
        </w:rPr>
      </w:pPr>
    </w:p>
    <w:p w:rsidR="006667BE" w:rsidRPr="006667BE" w:rsidRDefault="006667BE" w:rsidP="00666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b/>
          <w:bCs/>
          <w:sz w:val="22"/>
          <w:szCs w:val="22"/>
        </w:rPr>
      </w:pPr>
      <w:r w:rsidRPr="006667BE">
        <w:rPr>
          <w:rFonts w:eastAsia="Times New Roman" w:cstheme="minorHAnsi"/>
          <w:b/>
          <w:bCs/>
          <w:sz w:val="22"/>
          <w:szCs w:val="22"/>
        </w:rPr>
        <w:t>Sylvie</w:t>
      </w:r>
      <w:r w:rsidRPr="006667BE">
        <w:rPr>
          <w:rFonts w:eastAsia="Times New Roman" w:cstheme="minorHAnsi"/>
          <w:b/>
          <w:bCs/>
          <w:sz w:val="22"/>
          <w:szCs w:val="22"/>
        </w:rPr>
        <w:t xml:space="preserve"> CANAT </w:t>
      </w:r>
      <w:r w:rsidRPr="006667BE">
        <w:rPr>
          <w:rFonts w:eastAsia="Times New Roman" w:cstheme="minorHAnsi"/>
          <w:sz w:val="22"/>
          <w:szCs w:val="22"/>
        </w:rPr>
        <w:t xml:space="preserve">est Professeure des universités en sciences de l’éducation et de la formation au sein du laboratoire </w:t>
      </w:r>
      <w:proofErr w:type="spellStart"/>
      <w:r w:rsidRPr="006667BE">
        <w:rPr>
          <w:rFonts w:eastAsia="Times New Roman" w:cstheme="minorHAnsi"/>
          <w:i/>
          <w:iCs/>
          <w:sz w:val="22"/>
          <w:szCs w:val="22"/>
        </w:rPr>
        <w:t>Lirdef</w:t>
      </w:r>
      <w:proofErr w:type="spellEnd"/>
      <w:r w:rsidRPr="006667BE">
        <w:rPr>
          <w:rFonts w:eastAsia="Times New Roman" w:cstheme="minorHAnsi"/>
          <w:sz w:val="22"/>
          <w:szCs w:val="22"/>
        </w:rPr>
        <w:t xml:space="preserve">. Elle est </w:t>
      </w:r>
      <w:r w:rsidRPr="006667BE">
        <w:rPr>
          <w:rFonts w:cstheme="minorHAnsi"/>
          <w:sz w:val="22"/>
          <w:szCs w:val="22"/>
        </w:rPr>
        <w:t>Vice-présidente déléguée aux situations de handicap</w:t>
      </w:r>
      <w:r w:rsidRPr="006667BE">
        <w:rPr>
          <w:rFonts w:cstheme="minorHAnsi"/>
          <w:sz w:val="22"/>
          <w:szCs w:val="22"/>
        </w:rPr>
        <w:t xml:space="preserve"> de l’Université</w:t>
      </w:r>
      <w:r w:rsidRPr="006667BE">
        <w:rPr>
          <w:rFonts w:cstheme="minorHAnsi"/>
          <w:sz w:val="22"/>
          <w:szCs w:val="22"/>
        </w:rPr>
        <w:t xml:space="preserve"> Paul-Valéry Montpellier</w:t>
      </w:r>
      <w:r w:rsidRPr="006667BE">
        <w:rPr>
          <w:rFonts w:cstheme="minorHAnsi"/>
          <w:sz w:val="22"/>
          <w:szCs w:val="22"/>
        </w:rPr>
        <w:t xml:space="preserve"> 3.</w:t>
      </w:r>
    </w:p>
    <w:p w:rsidR="006667BE" w:rsidRPr="006667BE" w:rsidRDefault="006667BE" w:rsidP="006667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sz w:val="22"/>
          <w:szCs w:val="22"/>
        </w:rPr>
      </w:pPr>
      <w:r w:rsidRPr="006667BE">
        <w:rPr>
          <w:rFonts w:eastAsia="Times New Roman" w:cstheme="minorHAnsi"/>
          <w:sz w:val="22"/>
          <w:szCs w:val="22"/>
        </w:rPr>
        <w:t xml:space="preserve">Elle a créé et a la </w:t>
      </w:r>
      <w:r w:rsidRPr="006667BE">
        <w:rPr>
          <w:rFonts w:eastAsia="Times New Roman" w:cstheme="minorHAnsi"/>
          <w:sz w:val="22"/>
          <w:szCs w:val="22"/>
        </w:rPr>
        <w:t xml:space="preserve">responsabilité du master 2 EPSIN (éducation, pédagogie et société inclusives ; forme les référents handicap des trois fonctions publiques et du privé). </w:t>
      </w:r>
    </w:p>
    <w:p w:rsidR="006667BE" w:rsidRPr="006667BE" w:rsidRDefault="006667BE" w:rsidP="006667BE">
      <w:pPr>
        <w:rPr>
          <w:rFonts w:eastAsia="Times New Roman" w:cstheme="minorHAnsi"/>
          <w:sz w:val="22"/>
          <w:szCs w:val="22"/>
        </w:rPr>
      </w:pPr>
    </w:p>
    <w:p w:rsidR="006667BE" w:rsidRPr="006667BE" w:rsidRDefault="006667BE" w:rsidP="006667BE">
      <w:pPr>
        <w:rPr>
          <w:rFonts w:cstheme="minorHAnsi"/>
          <w:b/>
          <w:bCs/>
          <w:sz w:val="22"/>
          <w:szCs w:val="22"/>
        </w:rPr>
      </w:pPr>
      <w:r w:rsidRPr="006667BE">
        <w:rPr>
          <w:rFonts w:cstheme="minorHAnsi"/>
          <w:b/>
          <w:bCs/>
          <w:sz w:val="22"/>
          <w:szCs w:val="22"/>
        </w:rPr>
        <w:t>L’université pensée comme un environnement inclusif et capacitant</w:t>
      </w:r>
    </w:p>
    <w:p w:rsidR="006667BE" w:rsidRPr="006667BE" w:rsidRDefault="006667BE" w:rsidP="006667BE">
      <w:pPr>
        <w:jc w:val="both"/>
        <w:rPr>
          <w:rFonts w:cstheme="minorHAnsi"/>
          <w:sz w:val="22"/>
          <w:szCs w:val="22"/>
          <w:u w:val="single"/>
        </w:rPr>
      </w:pPr>
    </w:p>
    <w:p w:rsidR="006667BE" w:rsidRPr="006667BE" w:rsidRDefault="006667BE" w:rsidP="006667BE">
      <w:pPr>
        <w:rPr>
          <w:rFonts w:cstheme="minorHAnsi"/>
          <w:sz w:val="22"/>
          <w:szCs w:val="22"/>
        </w:rPr>
      </w:pPr>
      <w:r w:rsidRPr="006667BE">
        <w:rPr>
          <w:rFonts w:cstheme="minorHAnsi"/>
          <w:sz w:val="22"/>
          <w:szCs w:val="22"/>
        </w:rPr>
        <w:t xml:space="preserve">L’université Paul Valéry a fait le choix d’aller au-delà des cadres réglementaires des aménagements des études et des examens des étudiants en situation de handicap. Une philosophie du lien, du collectif inclusif et d’une gouvernance polycentrée sous-tend la politique inclusive dont les valeurs s’ancrent dans notre </w:t>
      </w:r>
      <w:r w:rsidRPr="006667BE">
        <w:rPr>
          <w:rFonts w:cstheme="minorHAnsi"/>
          <w:b/>
          <w:bCs/>
          <w:sz w:val="22"/>
          <w:szCs w:val="22"/>
        </w:rPr>
        <w:t xml:space="preserve">culture humaniste. </w:t>
      </w:r>
      <w:r w:rsidRPr="006667BE">
        <w:rPr>
          <w:rFonts w:cstheme="minorHAnsi"/>
          <w:sz w:val="22"/>
          <w:szCs w:val="22"/>
        </w:rPr>
        <w:t>Un</w:t>
      </w:r>
      <w:r w:rsidRPr="006667BE">
        <w:rPr>
          <w:rFonts w:cstheme="minorHAnsi"/>
          <w:b/>
          <w:bCs/>
          <w:sz w:val="22"/>
          <w:szCs w:val="22"/>
        </w:rPr>
        <w:t xml:space="preserve"> schéma directeur du handicap</w:t>
      </w:r>
      <w:r w:rsidRPr="006667BE">
        <w:rPr>
          <w:rFonts w:cstheme="minorHAnsi"/>
          <w:sz w:val="22"/>
          <w:szCs w:val="22"/>
        </w:rPr>
        <w:t xml:space="preserve"> a été rédigé afin de donner une feuille de route mais les actions et les dispositifs se font et se tissent à partir des besoins et des contextes. Nous refusons d’avoir une politique de « pharmacie inclusive » distribuant des « </w:t>
      </w:r>
      <w:proofErr w:type="spellStart"/>
      <w:r w:rsidRPr="006667BE">
        <w:rPr>
          <w:rFonts w:cstheme="minorHAnsi"/>
          <w:sz w:val="22"/>
          <w:szCs w:val="22"/>
        </w:rPr>
        <w:t>médic</w:t>
      </w:r>
      <w:proofErr w:type="spellEnd"/>
      <w:r w:rsidRPr="006667BE">
        <w:rPr>
          <w:rFonts w:cstheme="minorHAnsi"/>
          <w:sz w:val="22"/>
          <w:szCs w:val="22"/>
        </w:rPr>
        <w:t xml:space="preserve">-inclusifs ». La politique menée lutte contre cette épidémie qui s’appelle se passer des liens et en deux clics faire un dossier purement administratif. L’étudiant en situation de handicap n’est pas traité comme un dossier parmi d’autres, c’est un sujet pour qui l’université se doit d’être innovante et d’inventer des dispositifs avec les partenaires (CHU, Cliniques, Médico-social, associations…) créant ainsi un environnement réellement capacitant. </w:t>
      </w:r>
    </w:p>
    <w:p w:rsidR="006667BE" w:rsidRDefault="006667BE" w:rsidP="006667BE">
      <w:pPr>
        <w:rPr>
          <w:rFonts w:cstheme="minorHAnsi"/>
          <w:sz w:val="22"/>
          <w:szCs w:val="22"/>
        </w:rPr>
      </w:pPr>
      <w:r w:rsidRPr="006667BE">
        <w:rPr>
          <w:rFonts w:cstheme="minorHAnsi"/>
          <w:sz w:val="22"/>
          <w:szCs w:val="22"/>
        </w:rPr>
        <w:t>Je me propose de rendre compte de cet environnement et des dispositifs construits et pour d’autres en cours de construction.</w:t>
      </w:r>
    </w:p>
    <w:p w:rsidR="006667BE" w:rsidRDefault="006667BE" w:rsidP="006667BE">
      <w:pPr>
        <w:rPr>
          <w:rFonts w:cstheme="minorHAnsi"/>
          <w:sz w:val="22"/>
          <w:szCs w:val="22"/>
        </w:rPr>
      </w:pPr>
    </w:p>
    <w:p w:rsidR="006667BE" w:rsidRDefault="006667BE" w:rsidP="006667BE">
      <w:pPr>
        <w:rPr>
          <w:rFonts w:cstheme="minorHAnsi"/>
          <w:sz w:val="22"/>
          <w:szCs w:val="22"/>
        </w:rPr>
      </w:pPr>
    </w:p>
    <w:p w:rsidR="009D73B4" w:rsidRPr="009D73B4" w:rsidRDefault="009D73B4" w:rsidP="009D73B4">
      <w:pPr>
        <w:pBdr>
          <w:top w:val="single" w:sz="4" w:space="1" w:color="auto"/>
          <w:left w:val="single" w:sz="4" w:space="4" w:color="auto"/>
          <w:bottom w:val="single" w:sz="4" w:space="1" w:color="auto"/>
          <w:right w:val="single" w:sz="4" w:space="4" w:color="auto"/>
        </w:pBdr>
        <w:rPr>
          <w:rFonts w:cstheme="minorHAnsi"/>
          <w:b/>
          <w:bCs/>
          <w:color w:val="0070C0"/>
        </w:rPr>
      </w:pPr>
      <w:r w:rsidRPr="009D73B4">
        <w:rPr>
          <w:rFonts w:cstheme="minorHAnsi"/>
          <w:b/>
          <w:bCs/>
          <w:color w:val="0070C0"/>
        </w:rPr>
        <w:t>Éric Dugas</w:t>
      </w:r>
    </w:p>
    <w:p w:rsidR="006667BE" w:rsidRPr="009D73B4" w:rsidRDefault="006667BE" w:rsidP="009D73B4">
      <w:pPr>
        <w:pBdr>
          <w:top w:val="single" w:sz="4" w:space="1" w:color="auto"/>
          <w:left w:val="single" w:sz="4" w:space="4" w:color="auto"/>
          <w:bottom w:val="single" w:sz="4" w:space="1" w:color="auto"/>
          <w:right w:val="single" w:sz="4" w:space="4" w:color="auto"/>
        </w:pBdr>
        <w:rPr>
          <w:rFonts w:eastAsia="Calibri" w:cs="Times New Roman"/>
          <w:color w:val="0070C0"/>
          <w:kern w:val="0"/>
          <w14:ligatures w14:val="none"/>
        </w:rPr>
      </w:pPr>
      <w:r w:rsidRPr="009D73B4">
        <w:rPr>
          <w:rFonts w:eastAsia="Calibri" w:cs="Times New Roman"/>
          <w:color w:val="0070C0"/>
          <w:kern w:val="0"/>
          <w14:ligatures w14:val="none"/>
        </w:rPr>
        <w:t>De l’inclusion à l’ère de l’inclusivité : Vers une approche systémique de l’inclusivité universitaire et sociale au prisme du handicap.</w:t>
      </w:r>
    </w:p>
    <w:p w:rsidR="006667BE" w:rsidRPr="009D73B4" w:rsidRDefault="006667BE" w:rsidP="006667BE">
      <w:pPr>
        <w:rPr>
          <w:rFonts w:cstheme="minorHAnsi"/>
          <w:sz w:val="22"/>
          <w:szCs w:val="22"/>
        </w:rPr>
      </w:pPr>
    </w:p>
    <w:p w:rsidR="00FE7FB7" w:rsidRPr="00FE7FB7" w:rsidRDefault="006667BE" w:rsidP="00FE7FB7">
      <w:pPr>
        <w:spacing w:line="259" w:lineRule="auto"/>
        <w:rPr>
          <w:color w:val="000000" w:themeColor="text1"/>
          <w:sz w:val="22"/>
          <w:szCs w:val="22"/>
          <w:shd w:val="clear" w:color="auto" w:fill="FFFFFF"/>
        </w:rPr>
      </w:pPr>
      <w:r w:rsidRPr="00FE7FB7">
        <w:rPr>
          <w:rFonts w:eastAsia="Calibri" w:cs="Times New Roman"/>
          <w:b/>
          <w:bCs/>
          <w:kern w:val="0"/>
          <w:sz w:val="22"/>
          <w:szCs w:val="22"/>
          <w14:ligatures w14:val="none"/>
        </w:rPr>
        <w:t xml:space="preserve">Éric DUGAS </w:t>
      </w:r>
      <w:r w:rsidRPr="00FE7FB7">
        <w:rPr>
          <w:rFonts w:eastAsia="Calibri" w:cs="Times New Roman"/>
          <w:kern w:val="0"/>
          <w:sz w:val="22"/>
          <w:szCs w:val="22"/>
          <w14:ligatures w14:val="none"/>
        </w:rPr>
        <w:t>est</w:t>
      </w:r>
      <w:r w:rsidRPr="00FE7FB7">
        <w:rPr>
          <w:color w:val="000000" w:themeColor="text1"/>
          <w:sz w:val="22"/>
          <w:szCs w:val="22"/>
        </w:rPr>
        <w:t xml:space="preserve"> </w:t>
      </w:r>
      <w:r w:rsidRPr="00FE7FB7">
        <w:rPr>
          <w:color w:val="000000" w:themeColor="text1"/>
          <w:sz w:val="22"/>
          <w:szCs w:val="22"/>
        </w:rPr>
        <w:t>Professeur des Universités</w:t>
      </w:r>
      <w:r w:rsidRPr="00FE7FB7">
        <w:rPr>
          <w:color w:val="000000" w:themeColor="text1"/>
          <w:sz w:val="22"/>
          <w:szCs w:val="22"/>
        </w:rPr>
        <w:t xml:space="preserve"> en sciences de l’éducation et de la formation à l’Université de Bordeaux. Il est</w:t>
      </w:r>
      <w:r w:rsidRPr="00FE7FB7">
        <w:rPr>
          <w:color w:val="000000" w:themeColor="text1"/>
          <w:sz w:val="22"/>
          <w:szCs w:val="22"/>
        </w:rPr>
        <w:t xml:space="preserve"> membre du LACES (UR 7437). C</w:t>
      </w:r>
      <w:r w:rsidRPr="00FE7FB7">
        <w:rPr>
          <w:color w:val="000000" w:themeColor="text1"/>
          <w:sz w:val="22"/>
          <w:szCs w:val="22"/>
          <w:shd w:val="clear" w:color="auto" w:fill="FFFFFF"/>
        </w:rPr>
        <w:t>hargé de mission handicap à l’Université de Bordeaux</w:t>
      </w:r>
      <w:r w:rsidR="00FE7FB7" w:rsidRPr="00FE7FB7">
        <w:rPr>
          <w:color w:val="000000" w:themeColor="text1"/>
          <w:sz w:val="22"/>
          <w:szCs w:val="22"/>
          <w:shd w:val="clear" w:color="auto" w:fill="FFFFFF"/>
        </w:rPr>
        <w:t xml:space="preserve"> de 2014 à 2026</w:t>
      </w:r>
      <w:r w:rsidR="00FE7FB7">
        <w:rPr>
          <w:color w:val="000000" w:themeColor="text1"/>
          <w:sz w:val="22"/>
          <w:szCs w:val="22"/>
          <w:shd w:val="clear" w:color="auto" w:fill="FFFFFF"/>
        </w:rPr>
        <w:t xml:space="preserve"> et</w:t>
      </w:r>
      <w:r w:rsidR="00FE7FB7" w:rsidRPr="00FE7FB7">
        <w:rPr>
          <w:color w:val="000000" w:themeColor="text1"/>
          <w:sz w:val="22"/>
          <w:szCs w:val="22"/>
          <w:shd w:val="clear" w:color="auto" w:fill="FFFFFF"/>
        </w:rPr>
        <w:t xml:space="preserve"> e</w:t>
      </w:r>
      <w:r w:rsidR="00FE7FB7" w:rsidRPr="00FE7FB7">
        <w:rPr>
          <w:rFonts w:eastAsia="Calibri" w:cs="Times New Roman"/>
          <w:kern w:val="0"/>
          <w:sz w:val="22"/>
          <w:szCs w:val="22"/>
          <w14:ligatures w14:val="none"/>
        </w:rPr>
        <w:t>x-Chargé de mission Handicap du Président Axel Kahn à l’université Paris Descartes (2008-2012</w:t>
      </w:r>
      <w:r w:rsidR="00FE7FB7">
        <w:rPr>
          <w:rFonts w:eastAsia="Calibri" w:cs="Times New Roman"/>
          <w:kern w:val="0"/>
          <w:sz w:val="22"/>
          <w:szCs w:val="22"/>
          <w14:ligatures w14:val="none"/>
        </w:rPr>
        <w:t xml:space="preserve">), il a été </w:t>
      </w:r>
      <w:r w:rsidR="00FE7FB7">
        <w:rPr>
          <w:color w:val="000000" w:themeColor="text1"/>
          <w:sz w:val="22"/>
          <w:szCs w:val="22"/>
          <w:shd w:val="clear" w:color="auto" w:fill="FFFFFF"/>
        </w:rPr>
        <w:t>le d</w:t>
      </w:r>
      <w:r w:rsidR="00FE7FB7" w:rsidRPr="00FE7FB7">
        <w:rPr>
          <w:rFonts w:eastAsia="Calibri" w:cs="Times New Roman"/>
          <w:kern w:val="0"/>
          <w:sz w:val="22"/>
          <w:szCs w:val="22"/>
          <w14:ligatures w14:val="none"/>
        </w:rPr>
        <w:t>irecteur du Département Recherche des Sciences humaines et sociales</w:t>
      </w:r>
      <w:r w:rsidR="00FE7FB7">
        <w:rPr>
          <w:rFonts w:eastAsia="Calibri" w:cs="Times New Roman"/>
          <w:kern w:val="0"/>
          <w:sz w:val="22"/>
          <w:szCs w:val="22"/>
          <w14:ligatures w14:val="none"/>
        </w:rPr>
        <w:t xml:space="preserve"> de l’</w:t>
      </w:r>
      <w:r w:rsidR="00FE7FB7" w:rsidRPr="00FE7FB7">
        <w:rPr>
          <w:rFonts w:eastAsia="Calibri" w:cs="Times New Roman"/>
          <w:kern w:val="0"/>
          <w:sz w:val="22"/>
          <w:szCs w:val="22"/>
          <w14:ligatures w14:val="none"/>
        </w:rPr>
        <w:t>université de Bordeaux (2015-2019).</w:t>
      </w:r>
      <w:r w:rsidR="00FE7FB7">
        <w:rPr>
          <w:rFonts w:eastAsia="Calibri" w:cs="Times New Roman"/>
          <w:kern w:val="0"/>
          <w:sz w:val="22"/>
          <w:szCs w:val="22"/>
          <w14:ligatures w14:val="none"/>
        </w:rPr>
        <w:t xml:space="preserve"> Il est le f</w:t>
      </w:r>
      <w:r w:rsidR="00FE7FB7" w:rsidRPr="00FE7FB7">
        <w:rPr>
          <w:rFonts w:eastAsia="Calibri" w:cs="Times New Roman"/>
          <w:kern w:val="0"/>
          <w:sz w:val="22"/>
          <w:szCs w:val="22"/>
          <w14:ligatures w14:val="none"/>
        </w:rPr>
        <w:t>ondateur et coresponsable du CR 40 – « Sociologie du bien-être scolaire et social » de l’Association internationale des sociologues de langue française (AISLF)</w:t>
      </w:r>
      <w:r w:rsidR="00FE7FB7">
        <w:rPr>
          <w:rFonts w:eastAsia="Calibri" w:cs="Times New Roman"/>
          <w:kern w:val="0"/>
          <w:sz w:val="22"/>
          <w:szCs w:val="22"/>
          <w14:ligatures w14:val="none"/>
        </w:rPr>
        <w:t xml:space="preserve"> et </w:t>
      </w:r>
      <w:r w:rsidR="00FE7FB7" w:rsidRPr="00FE7FB7">
        <w:rPr>
          <w:rFonts w:eastAsia="Calibri" w:cs="Times New Roman"/>
          <w:kern w:val="0"/>
          <w:sz w:val="22"/>
          <w:szCs w:val="22"/>
          <w14:ligatures w14:val="none"/>
        </w:rPr>
        <w:t>le</w:t>
      </w:r>
      <w:r w:rsidR="00FE7FB7" w:rsidRPr="00FE7FB7">
        <w:rPr>
          <w:color w:val="000000" w:themeColor="text1"/>
          <w:sz w:val="22"/>
          <w:szCs w:val="22"/>
          <w:shd w:val="clear" w:color="auto" w:fill="FFFFFF"/>
        </w:rPr>
        <w:t xml:space="preserve"> d</w:t>
      </w:r>
      <w:r w:rsidR="00FE7FB7" w:rsidRPr="00FE7FB7">
        <w:rPr>
          <w:rFonts w:eastAsia="Calibri" w:cs="Times New Roman"/>
          <w:kern w:val="0"/>
          <w:sz w:val="22"/>
          <w:szCs w:val="22"/>
          <w14:ligatures w14:val="none"/>
        </w:rPr>
        <w:t>irecteur de la collection scientifique “Santé en contextes” (2021) aux Presses universitaires de Bordeaux.</w:t>
      </w:r>
      <w:r w:rsidR="00FE7FB7" w:rsidRPr="00FE7FB7">
        <w:rPr>
          <w:color w:val="000000" w:themeColor="text1"/>
          <w:sz w:val="22"/>
          <w:szCs w:val="22"/>
          <w:shd w:val="clear" w:color="auto" w:fill="FFFFFF"/>
        </w:rPr>
        <w:t xml:space="preserve"> Il est membre </w:t>
      </w:r>
      <w:r w:rsidR="00FE7FB7" w:rsidRPr="00FE7FB7">
        <w:rPr>
          <w:rFonts w:eastAsia="Calibri" w:cs="Times New Roman"/>
          <w:kern w:val="0"/>
          <w:sz w:val="22"/>
          <w:szCs w:val="22"/>
          <w14:ligatures w14:val="none"/>
        </w:rPr>
        <w:t>du Conseil d'Administration de la FIRAH (Fondation Internationale de la Recherche Appliquée sur le Handicap) en tant que membre du collège des personnalités qualifiées (depuis 2019)</w:t>
      </w:r>
      <w:r w:rsidR="00FE7FB7">
        <w:rPr>
          <w:rFonts w:eastAsia="Calibri" w:cs="Times New Roman"/>
          <w:kern w:val="0"/>
          <w:sz w:val="22"/>
          <w:szCs w:val="22"/>
          <w14:ligatures w14:val="none"/>
        </w:rPr>
        <w:t xml:space="preserve"> et m</w:t>
      </w:r>
      <w:r w:rsidR="00FE7FB7" w:rsidRPr="00FE7FB7">
        <w:rPr>
          <w:rFonts w:eastAsia="Calibri" w:cs="Times New Roman"/>
          <w:kern w:val="0"/>
          <w:sz w:val="22"/>
          <w:szCs w:val="22"/>
          <w14:ligatures w14:val="none"/>
        </w:rPr>
        <w:t>embre du comité éthique recherche de l'INSEI (Institut national supérieur de formation et de recherche pour l'éducation inclusive, depuis 2021).</w:t>
      </w:r>
      <w:r w:rsidR="00FE7FB7">
        <w:rPr>
          <w:color w:val="000000" w:themeColor="text1"/>
          <w:sz w:val="22"/>
          <w:szCs w:val="22"/>
          <w:shd w:val="clear" w:color="auto" w:fill="FFFFFF"/>
        </w:rPr>
        <w:t xml:space="preserve"> </w:t>
      </w:r>
      <w:r w:rsidR="00FE7FB7">
        <w:rPr>
          <w:rFonts w:eastAsia="Calibri" w:cs="Times New Roman"/>
          <w:kern w:val="0"/>
          <w:sz w:val="22"/>
          <w:szCs w:val="22"/>
          <w14:ligatures w14:val="none"/>
        </w:rPr>
        <w:t xml:space="preserve">Il est </w:t>
      </w:r>
      <w:proofErr w:type="spellStart"/>
      <w:r w:rsidR="00FE7FB7">
        <w:rPr>
          <w:rFonts w:eastAsia="Calibri" w:cs="Times New Roman"/>
          <w:kern w:val="0"/>
          <w:sz w:val="22"/>
          <w:szCs w:val="22"/>
          <w14:ligatures w14:val="none"/>
        </w:rPr>
        <w:t>c</w:t>
      </w:r>
      <w:r w:rsidR="00FE7FB7" w:rsidRPr="00FE7FB7">
        <w:rPr>
          <w:rFonts w:eastAsia="Calibri" w:cs="Times New Roman"/>
          <w:kern w:val="0"/>
          <w:sz w:val="22"/>
          <w:szCs w:val="22"/>
          <w14:ligatures w14:val="none"/>
        </w:rPr>
        <w:t>o</w:t>
      </w:r>
      <w:proofErr w:type="spellEnd"/>
      <w:r w:rsidR="00FE7FB7" w:rsidRPr="00FE7FB7">
        <w:rPr>
          <w:rFonts w:eastAsia="Calibri" w:cs="Times New Roman"/>
          <w:kern w:val="0"/>
          <w:sz w:val="22"/>
          <w:szCs w:val="22"/>
          <w14:ligatures w14:val="none"/>
        </w:rPr>
        <w:t>-référent du projet PIA 3 ATYPIE FRIENDLY à l’université de Bordeaux (2018-2025)</w:t>
      </w:r>
    </w:p>
    <w:p w:rsidR="006667BE" w:rsidRPr="00FE7FB7" w:rsidRDefault="006667BE" w:rsidP="006667BE">
      <w:pPr>
        <w:spacing w:line="259" w:lineRule="auto"/>
        <w:rPr>
          <w:rFonts w:eastAsia="Calibri" w:cs="Times New Roman"/>
          <w:kern w:val="0"/>
          <w:sz w:val="22"/>
          <w:szCs w:val="22"/>
          <w14:ligatures w14:val="none"/>
        </w:rPr>
      </w:pPr>
    </w:p>
    <w:p w:rsidR="006667BE" w:rsidRPr="00FE7FB7" w:rsidRDefault="006667BE" w:rsidP="006667BE">
      <w:pPr>
        <w:spacing w:line="259" w:lineRule="auto"/>
        <w:rPr>
          <w:rFonts w:eastAsia="Calibri" w:cs="Times New Roman"/>
          <w:b/>
          <w:bCs/>
          <w:kern w:val="0"/>
          <w:sz w:val="22"/>
          <w:szCs w:val="22"/>
          <w14:ligatures w14:val="none"/>
        </w:rPr>
      </w:pPr>
      <w:r w:rsidRPr="00FE7FB7">
        <w:rPr>
          <w:rFonts w:eastAsia="Calibri" w:cs="Times New Roman"/>
          <w:b/>
          <w:bCs/>
          <w:kern w:val="0"/>
          <w:sz w:val="22"/>
          <w:szCs w:val="22"/>
          <w14:ligatures w14:val="none"/>
        </w:rPr>
        <w:t>De l’inclusion à l’ère de l’inclusivité : Vers une approche systémique de l’inclusivité universitaire et sociale au prisme du handicap.</w:t>
      </w:r>
    </w:p>
    <w:p w:rsidR="00FE7FB7" w:rsidRPr="00FE7FB7" w:rsidRDefault="00FE7FB7" w:rsidP="006667BE">
      <w:pPr>
        <w:spacing w:line="259" w:lineRule="auto"/>
        <w:rPr>
          <w:rFonts w:eastAsia="Calibri" w:cs="Times New Roman"/>
          <w:kern w:val="0"/>
          <w:sz w:val="22"/>
          <w:szCs w:val="22"/>
          <w14:ligatures w14:val="none"/>
        </w:rPr>
      </w:pPr>
    </w:p>
    <w:p w:rsidR="006667BE" w:rsidRPr="00FE7FB7" w:rsidRDefault="006667BE" w:rsidP="006667BE">
      <w:pPr>
        <w:rPr>
          <w:rFonts w:eastAsia="Calibri" w:cs="Times New Roman"/>
          <w:kern w:val="0"/>
          <w:sz w:val="22"/>
          <w:szCs w:val="22"/>
          <w14:ligatures w14:val="none"/>
        </w:rPr>
      </w:pPr>
      <w:r w:rsidRPr="00FE7FB7">
        <w:rPr>
          <w:rFonts w:eastAsia="Calibri" w:cs="Times New Roman"/>
          <w:kern w:val="0"/>
          <w:sz w:val="22"/>
          <w:szCs w:val="22"/>
          <w14:ligatures w14:val="none"/>
        </w:rPr>
        <w:t xml:space="preserve">Les ancrages représentationnels souvent négatifs, les prénotions ou encore les biais cognitifs sont tenaces malgré les avancées, au fil du temps, de la connaissance et de la multiplication des incitations et des obligations en faveur des personnes en situation de handicap (PSH). En forçant le trait, soit elles sont magnifiées (figure du héros, préjugé positif), soit réduites à leurs manques, à leur(s) altérité(s), et donc à leur(s) </w:t>
      </w:r>
      <w:proofErr w:type="gramStart"/>
      <w:r w:rsidRPr="00FE7FB7">
        <w:rPr>
          <w:rFonts w:eastAsia="Calibri" w:cs="Times New Roman"/>
          <w:kern w:val="0"/>
          <w:sz w:val="22"/>
          <w:szCs w:val="22"/>
          <w14:ligatures w14:val="none"/>
        </w:rPr>
        <w:t>potentielle(</w:t>
      </w:r>
      <w:proofErr w:type="gramEnd"/>
      <w:r w:rsidRPr="00FE7FB7">
        <w:rPr>
          <w:rFonts w:eastAsia="Calibri" w:cs="Times New Roman"/>
          <w:kern w:val="0"/>
          <w:sz w:val="22"/>
          <w:szCs w:val="22"/>
          <w14:ligatures w14:val="none"/>
        </w:rPr>
        <w:t>s ) « incapacité(s)» (préjugé négatif) qu’il faut compenser. Dans les deux cas, elles sont à part, hors normes, car singularisées, biologisées ou essentialisées. Or la PSH est avant tout une personne, autrement capable (Plaisance, 2009).</w:t>
      </w:r>
    </w:p>
    <w:p w:rsidR="006667BE" w:rsidRPr="00FE7FB7" w:rsidRDefault="006667BE" w:rsidP="006667BE">
      <w:pPr>
        <w:rPr>
          <w:rFonts w:eastAsia="Calibri" w:cs="Times New Roman"/>
          <w:kern w:val="0"/>
          <w:sz w:val="22"/>
          <w:szCs w:val="22"/>
          <w14:ligatures w14:val="none"/>
        </w:rPr>
      </w:pPr>
      <w:r w:rsidRPr="00FE7FB7">
        <w:rPr>
          <w:rFonts w:eastAsia="Calibri" w:cs="Times New Roman"/>
          <w:kern w:val="0"/>
          <w:sz w:val="22"/>
          <w:szCs w:val="22"/>
          <w14:ligatures w14:val="none"/>
        </w:rPr>
        <w:t xml:space="preserve">Par analogie, les périodes d’intégration et d’inclusion marquent dans les mots et surtout dans les faits les deux extrêmes du curseur de la participation citoyenne d’une PSH : d’un côté, des efforts et une participation quasi « exclusive de la personne » (intégration) et de l’autre, une participation et décision quasi-exclusives de l’incluant au détriment de l’inclus (inclusion), car sa participation est encore trop partielle, partiale et d’affichage. L’entre-deux vertueux serait un processus dynamique toujours en mouvement, évolutif, adapté aux contextes et aux situations vécues, pensé sur un temps long, avec la coopération de tous les acteurs concernés (approche polycentrée ; </w:t>
      </w:r>
      <w:proofErr w:type="spellStart"/>
      <w:r w:rsidRPr="00FE7FB7">
        <w:rPr>
          <w:rFonts w:eastAsia="Calibri" w:cs="Times New Roman"/>
          <w:kern w:val="0"/>
          <w:sz w:val="22"/>
          <w:szCs w:val="22"/>
          <w14:ligatures w14:val="none"/>
        </w:rPr>
        <w:t>Ebersold</w:t>
      </w:r>
      <w:proofErr w:type="spellEnd"/>
      <w:r w:rsidRPr="00FE7FB7">
        <w:rPr>
          <w:rFonts w:eastAsia="Calibri" w:cs="Times New Roman"/>
          <w:kern w:val="0"/>
          <w:sz w:val="22"/>
          <w:szCs w:val="22"/>
          <w14:ligatures w14:val="none"/>
        </w:rPr>
        <w:t xml:space="preserve">, 2020), dont la PSH serait pleinement partie prenante : il s’agit ici du « processus d’inclusivité » (Dugas, 2023). </w:t>
      </w:r>
    </w:p>
    <w:p w:rsidR="006667BE" w:rsidRPr="00FE7FB7" w:rsidRDefault="006667BE" w:rsidP="006667BE">
      <w:pPr>
        <w:spacing w:line="259" w:lineRule="auto"/>
        <w:rPr>
          <w:rFonts w:eastAsia="Calibri" w:cs="Times New Roman"/>
          <w:kern w:val="0"/>
          <w:sz w:val="22"/>
          <w:szCs w:val="22"/>
          <w14:ligatures w14:val="none"/>
        </w:rPr>
      </w:pPr>
      <w:r w:rsidRPr="00FE7FB7">
        <w:rPr>
          <w:rFonts w:eastAsia="Calibri" w:cs="Times New Roman"/>
          <w:kern w:val="0"/>
          <w:sz w:val="22"/>
          <w:szCs w:val="22"/>
          <w14:ligatures w14:val="none"/>
        </w:rPr>
        <w:t xml:space="preserve">L’inclusion universitaire, sous l’impulsion de chartes et des lois </w:t>
      </w:r>
      <w:r w:rsidRPr="00FE7FB7">
        <w:rPr>
          <w:rFonts w:eastAsia="Calibri" w:cs="Calibri"/>
          <w:kern w:val="0"/>
          <w:sz w:val="22"/>
          <w:szCs w:val="22"/>
          <w14:ligatures w14:val="none"/>
        </w:rPr>
        <w:t>‒</w:t>
      </w:r>
      <w:r w:rsidRPr="00FE7FB7">
        <w:rPr>
          <w:rFonts w:eastAsia="Calibri" w:cs="Times New Roman"/>
          <w:kern w:val="0"/>
          <w:sz w:val="22"/>
          <w:szCs w:val="22"/>
          <w14:ligatures w14:val="none"/>
        </w:rPr>
        <w:t xml:space="preserve"> dont la loi dite « </w:t>
      </w:r>
      <w:proofErr w:type="spellStart"/>
      <w:r w:rsidRPr="00FE7FB7">
        <w:rPr>
          <w:rFonts w:eastAsia="Calibri" w:cs="Times New Roman"/>
          <w:kern w:val="0"/>
          <w:sz w:val="22"/>
          <w:szCs w:val="22"/>
          <w14:ligatures w14:val="none"/>
        </w:rPr>
        <w:t>Fioraso</w:t>
      </w:r>
      <w:proofErr w:type="spellEnd"/>
      <w:r w:rsidRPr="00FE7FB7">
        <w:rPr>
          <w:rFonts w:eastAsia="Calibri" w:cs="Times New Roman"/>
          <w:kern w:val="0"/>
          <w:sz w:val="22"/>
          <w:szCs w:val="22"/>
          <w14:ligatures w14:val="none"/>
        </w:rPr>
        <w:t xml:space="preserve"> » (2013) qui imposa la création d’un schéma directeur pluriannuel en matière de politique du handicap dans les établissements d’enseignement supérieur </w:t>
      </w:r>
      <w:r w:rsidRPr="00FE7FB7">
        <w:rPr>
          <w:rFonts w:eastAsia="Calibri" w:cs="Calibri"/>
          <w:kern w:val="0"/>
          <w:sz w:val="22"/>
          <w:szCs w:val="22"/>
          <w14:ligatures w14:val="none"/>
        </w:rPr>
        <w:t>‒</w:t>
      </w:r>
      <w:r w:rsidRPr="00FE7FB7">
        <w:rPr>
          <w:rFonts w:eastAsia="Calibri" w:cs="Times New Roman"/>
          <w:kern w:val="0"/>
          <w:sz w:val="22"/>
          <w:szCs w:val="22"/>
          <w14:ligatures w14:val="none"/>
        </w:rPr>
        <w:t xml:space="preserve"> a-t-elle actuellement les moyens des ambitions proclamées pour se défaire de la conception techniciste de l’accessibilité (</w:t>
      </w:r>
      <w:proofErr w:type="spellStart"/>
      <w:r w:rsidRPr="00FE7FB7">
        <w:rPr>
          <w:rFonts w:eastAsia="Calibri" w:cs="Times New Roman"/>
          <w:kern w:val="0"/>
          <w:sz w:val="22"/>
          <w:szCs w:val="22"/>
          <w14:ligatures w14:val="none"/>
        </w:rPr>
        <w:t>Ebersold</w:t>
      </w:r>
      <w:proofErr w:type="spellEnd"/>
      <w:r w:rsidRPr="00FE7FB7">
        <w:rPr>
          <w:rFonts w:eastAsia="Calibri" w:cs="Times New Roman"/>
          <w:kern w:val="0"/>
          <w:sz w:val="22"/>
          <w:szCs w:val="22"/>
          <w14:ligatures w14:val="none"/>
        </w:rPr>
        <w:t>, 2017) ?  En ce sens, les prémices du chemin de l’inclusivité sont-elles palpables et encouragées au profit des étudiants en situation de handicap (ESH) ?</w:t>
      </w:r>
    </w:p>
    <w:p w:rsidR="006667BE" w:rsidRDefault="006667BE" w:rsidP="006667BE">
      <w:pPr>
        <w:spacing w:line="259" w:lineRule="auto"/>
        <w:rPr>
          <w:rFonts w:eastAsia="Calibri" w:cs="Times New Roman"/>
          <w:kern w:val="0"/>
          <w:sz w:val="22"/>
          <w:szCs w:val="22"/>
          <w14:ligatures w14:val="none"/>
        </w:rPr>
      </w:pPr>
      <w:r w:rsidRPr="00FE7FB7">
        <w:rPr>
          <w:rFonts w:eastAsia="Calibri" w:cs="Times New Roman"/>
          <w:kern w:val="0"/>
          <w:sz w:val="22"/>
          <w:szCs w:val="22"/>
          <w14:ligatures w14:val="none"/>
        </w:rPr>
        <w:t>Après avoir</w:t>
      </w:r>
      <w:r w:rsidRPr="00FE7FB7">
        <w:rPr>
          <w:sz w:val="22"/>
          <w:szCs w:val="22"/>
        </w:rPr>
        <w:t xml:space="preserve"> </w:t>
      </w:r>
      <w:r w:rsidRPr="00FE7FB7">
        <w:rPr>
          <w:rFonts w:eastAsia="Calibri" w:cs="Times New Roman"/>
          <w:kern w:val="0"/>
          <w:sz w:val="22"/>
          <w:szCs w:val="22"/>
          <w14:ligatures w14:val="none"/>
        </w:rPr>
        <w:t xml:space="preserve">fait état des freins et obstacles de l’inclusion universitaire, nous définirons le sens donné à « l’ère de </w:t>
      </w:r>
      <w:proofErr w:type="gramStart"/>
      <w:r w:rsidRPr="00FE7FB7">
        <w:rPr>
          <w:rFonts w:eastAsia="Calibri" w:cs="Times New Roman"/>
          <w:kern w:val="0"/>
          <w:sz w:val="22"/>
          <w:szCs w:val="22"/>
          <w14:ligatures w14:val="none"/>
        </w:rPr>
        <w:t>l’inclusivité  universitaire</w:t>
      </w:r>
      <w:proofErr w:type="gramEnd"/>
      <w:r w:rsidRPr="00FE7FB7">
        <w:rPr>
          <w:rFonts w:eastAsia="Calibri" w:cs="Times New Roman"/>
          <w:kern w:val="0"/>
          <w:sz w:val="22"/>
          <w:szCs w:val="22"/>
          <w14:ligatures w14:val="none"/>
        </w:rPr>
        <w:t xml:space="preserve"> » (Dugas, 2025), pour exposer </w:t>
      </w:r>
      <w:r w:rsidRPr="00FE7FB7">
        <w:rPr>
          <w:rFonts w:eastAsia="Calibri" w:cs="Times New Roman"/>
          <w:i/>
          <w:iCs/>
          <w:kern w:val="0"/>
          <w:sz w:val="22"/>
          <w:szCs w:val="22"/>
          <w14:ligatures w14:val="none"/>
        </w:rPr>
        <w:t>in fine</w:t>
      </w:r>
      <w:r w:rsidRPr="00FE7FB7">
        <w:rPr>
          <w:rFonts w:eastAsia="Calibri" w:cs="Times New Roman"/>
          <w:kern w:val="0"/>
          <w:sz w:val="22"/>
          <w:szCs w:val="22"/>
          <w14:ligatures w14:val="none"/>
        </w:rPr>
        <w:t xml:space="preserve"> des initiatives et pistes (voir aussi le programme du colloque) qui confortent un changement de cap et de perspective. Ces nouvelles orientations sont propices à l</w:t>
      </w:r>
      <w:proofErr w:type="gramStart"/>
      <w:r w:rsidRPr="00FE7FB7">
        <w:rPr>
          <w:rFonts w:eastAsia="Calibri" w:cs="Times New Roman"/>
          <w:kern w:val="0"/>
          <w:sz w:val="22"/>
          <w:szCs w:val="22"/>
          <w14:ligatures w14:val="none"/>
        </w:rPr>
        <w:t>’«</w:t>
      </w:r>
      <w:proofErr w:type="gramEnd"/>
      <w:r w:rsidRPr="00FE7FB7">
        <w:rPr>
          <w:rFonts w:eastAsia="Calibri" w:cs="Times New Roman"/>
          <w:kern w:val="0"/>
          <w:sz w:val="22"/>
          <w:szCs w:val="22"/>
          <w14:ligatures w14:val="none"/>
        </w:rPr>
        <w:t> émancipation » citoyenne des ESH et de leur devenir professionnel, mais possiblement producteur de tensions si mal pensées et maitrisées.</w:t>
      </w:r>
    </w:p>
    <w:p w:rsidR="00FE7FB7" w:rsidRDefault="00FE7FB7" w:rsidP="006667BE">
      <w:pPr>
        <w:spacing w:line="259" w:lineRule="auto"/>
        <w:rPr>
          <w:rFonts w:eastAsia="Calibri" w:cs="Times New Roman"/>
          <w:kern w:val="0"/>
          <w:sz w:val="22"/>
          <w:szCs w:val="22"/>
          <w14:ligatures w14:val="none"/>
        </w:rPr>
      </w:pPr>
    </w:p>
    <w:p w:rsidR="00E90641" w:rsidRDefault="00E90641" w:rsidP="006667BE">
      <w:pPr>
        <w:spacing w:line="259" w:lineRule="auto"/>
        <w:rPr>
          <w:rFonts w:eastAsia="Calibri" w:cs="Times New Roman"/>
          <w:kern w:val="0"/>
          <w:sz w:val="22"/>
          <w:szCs w:val="22"/>
          <w14:ligatures w14:val="none"/>
        </w:rPr>
      </w:pPr>
    </w:p>
    <w:p w:rsidR="009D73B4" w:rsidRPr="009D73B4" w:rsidRDefault="009D73B4" w:rsidP="009D73B4">
      <w:pPr>
        <w:pBdr>
          <w:top w:val="single" w:sz="4" w:space="1" w:color="auto"/>
          <w:left w:val="single" w:sz="4" w:space="4" w:color="auto"/>
          <w:bottom w:val="single" w:sz="4" w:space="1" w:color="auto"/>
          <w:right w:val="single" w:sz="4" w:space="4" w:color="auto"/>
        </w:pBdr>
        <w:spacing w:line="259" w:lineRule="auto"/>
        <w:rPr>
          <w:rFonts w:eastAsia="Calibri" w:cs="Times New Roman"/>
          <w:b/>
          <w:bCs/>
          <w:kern w:val="0"/>
          <w14:ligatures w14:val="none"/>
        </w:rPr>
      </w:pPr>
      <w:proofErr w:type="spellStart"/>
      <w:r w:rsidRPr="009D73B4">
        <w:rPr>
          <w:rFonts w:eastAsia="Calibri" w:cs="Times New Roman"/>
          <w:b/>
          <w:bCs/>
          <w:color w:val="0070C0"/>
          <w:kern w:val="0"/>
          <w14:ligatures w14:val="none"/>
        </w:rPr>
        <w:t>Tiffanie</w:t>
      </w:r>
      <w:proofErr w:type="spellEnd"/>
      <w:r w:rsidRPr="009D73B4">
        <w:rPr>
          <w:rFonts w:eastAsia="Calibri" w:cs="Times New Roman"/>
          <w:b/>
          <w:bCs/>
          <w:color w:val="0070C0"/>
          <w:kern w:val="0"/>
          <w14:ligatures w14:val="none"/>
        </w:rPr>
        <w:t xml:space="preserve"> Dujardin</w:t>
      </w:r>
    </w:p>
    <w:p w:rsidR="00FE7FB7" w:rsidRPr="009D73B4" w:rsidRDefault="00FE7FB7" w:rsidP="00FE7FB7">
      <w:pPr>
        <w:pBdr>
          <w:top w:val="single" w:sz="4" w:space="1" w:color="auto"/>
          <w:left w:val="single" w:sz="4" w:space="4" w:color="auto"/>
          <w:bottom w:val="single" w:sz="4" w:space="1" w:color="auto"/>
          <w:right w:val="single" w:sz="4" w:space="4" w:color="auto"/>
        </w:pBdr>
        <w:jc w:val="both"/>
        <w:rPr>
          <w:color w:val="0070C0"/>
        </w:rPr>
      </w:pPr>
      <w:r w:rsidRPr="009D73B4">
        <w:rPr>
          <w:color w:val="0070C0"/>
        </w:rPr>
        <w:t xml:space="preserve">(Se) Former à l’inclusion : comment la participation à une formation influence-t-elle le sentiment d’efficacité personnelle des </w:t>
      </w:r>
      <w:proofErr w:type="spellStart"/>
      <w:r w:rsidRPr="009D73B4">
        <w:rPr>
          <w:color w:val="0070C0"/>
        </w:rPr>
        <w:t>formateur·ice·s</w:t>
      </w:r>
      <w:proofErr w:type="spellEnd"/>
      <w:r w:rsidRPr="009D73B4">
        <w:rPr>
          <w:color w:val="0070C0"/>
        </w:rPr>
        <w:t xml:space="preserve"> intervenant en Master MEEF ? </w:t>
      </w:r>
    </w:p>
    <w:p w:rsidR="00FE7FB7" w:rsidRDefault="00FE7FB7" w:rsidP="006667BE">
      <w:pPr>
        <w:spacing w:line="259" w:lineRule="auto"/>
        <w:rPr>
          <w:rFonts w:eastAsia="Calibri" w:cs="Times New Roman"/>
          <w:kern w:val="0"/>
          <w:sz w:val="22"/>
          <w:szCs w:val="22"/>
          <w14:ligatures w14:val="none"/>
        </w:rPr>
      </w:pPr>
    </w:p>
    <w:p w:rsidR="00FE7FB7" w:rsidRPr="00FE7FB7" w:rsidRDefault="00FE7FB7" w:rsidP="00FE7FB7">
      <w:pPr>
        <w:spacing w:line="259" w:lineRule="auto"/>
        <w:rPr>
          <w:rFonts w:eastAsia="Calibri" w:cs="Times New Roman"/>
          <w:kern w:val="0"/>
          <w:sz w:val="22"/>
          <w:szCs w:val="22"/>
          <w14:ligatures w14:val="none"/>
        </w:rPr>
      </w:pPr>
      <w:proofErr w:type="spellStart"/>
      <w:r w:rsidRPr="00FE7FB7">
        <w:rPr>
          <w:rFonts w:eastAsia="Calibri" w:cs="Times New Roman"/>
          <w:b/>
          <w:bCs/>
          <w:kern w:val="0"/>
          <w:sz w:val="22"/>
          <w:szCs w:val="22"/>
          <w14:ligatures w14:val="none"/>
        </w:rPr>
        <w:t>Tiffanie</w:t>
      </w:r>
      <w:proofErr w:type="spellEnd"/>
      <w:r w:rsidRPr="00FE7FB7">
        <w:rPr>
          <w:rFonts w:eastAsia="Calibri" w:cs="Times New Roman"/>
          <w:b/>
          <w:bCs/>
          <w:kern w:val="0"/>
          <w:sz w:val="22"/>
          <w:szCs w:val="22"/>
          <w14:ligatures w14:val="none"/>
        </w:rPr>
        <w:t xml:space="preserve"> DUJARDIN</w:t>
      </w:r>
      <w:r>
        <w:rPr>
          <w:rFonts w:eastAsia="Calibri" w:cs="Times New Roman"/>
          <w:kern w:val="0"/>
          <w:sz w:val="22"/>
          <w:szCs w:val="22"/>
          <w14:ligatures w14:val="none"/>
        </w:rPr>
        <w:t xml:space="preserve"> est </w:t>
      </w:r>
      <w:r w:rsidRPr="00FE7FB7">
        <w:rPr>
          <w:sz w:val="22"/>
          <w:szCs w:val="22"/>
        </w:rPr>
        <w:t>Docteure en neurosciences cognitives</w:t>
      </w:r>
      <w:r>
        <w:rPr>
          <w:sz w:val="22"/>
          <w:szCs w:val="22"/>
        </w:rPr>
        <w:t xml:space="preserve"> et </w:t>
      </w:r>
      <w:proofErr w:type="spellStart"/>
      <w:r>
        <w:rPr>
          <w:sz w:val="22"/>
          <w:szCs w:val="22"/>
        </w:rPr>
        <w:t>m</w:t>
      </w:r>
      <w:r w:rsidRPr="00FE7FB7">
        <w:rPr>
          <w:sz w:val="22"/>
          <w:szCs w:val="22"/>
        </w:rPr>
        <w:t>aîtresse</w:t>
      </w:r>
      <w:proofErr w:type="spellEnd"/>
      <w:r w:rsidRPr="00FE7FB7">
        <w:rPr>
          <w:sz w:val="22"/>
          <w:szCs w:val="22"/>
        </w:rPr>
        <w:t xml:space="preserve"> de </w:t>
      </w:r>
      <w:proofErr w:type="spellStart"/>
      <w:r w:rsidRPr="00FE7FB7">
        <w:rPr>
          <w:sz w:val="22"/>
          <w:szCs w:val="22"/>
        </w:rPr>
        <w:t>Conférences</w:t>
      </w:r>
      <w:proofErr w:type="spellEnd"/>
      <w:r w:rsidRPr="00FE7FB7">
        <w:rPr>
          <w:sz w:val="22"/>
          <w:szCs w:val="22"/>
        </w:rPr>
        <w:t xml:space="preserve"> en Psychologie Cognitive à l’INSPE de Normandie Rouen Le Havre depuis 2013</w:t>
      </w:r>
      <w:r>
        <w:rPr>
          <w:sz w:val="22"/>
          <w:szCs w:val="22"/>
        </w:rPr>
        <w:t>. Elle est</w:t>
      </w:r>
      <w:r w:rsidRPr="00FE7FB7">
        <w:rPr>
          <w:sz w:val="22"/>
          <w:szCs w:val="22"/>
        </w:rPr>
        <w:t xml:space="preserve"> membre du laboratoire CRFDP de l’</w:t>
      </w:r>
      <w:proofErr w:type="spellStart"/>
      <w:r w:rsidRPr="00FE7FB7">
        <w:rPr>
          <w:sz w:val="22"/>
          <w:szCs w:val="22"/>
        </w:rPr>
        <w:t>Universite</w:t>
      </w:r>
      <w:proofErr w:type="spellEnd"/>
      <w:r w:rsidRPr="00FE7FB7">
        <w:rPr>
          <w:sz w:val="22"/>
          <w:szCs w:val="22"/>
        </w:rPr>
        <w:t>́ de Rouen Normandie.</w:t>
      </w:r>
      <w:r w:rsidRPr="00FE7FB7">
        <w:rPr>
          <w:sz w:val="22"/>
          <w:szCs w:val="22"/>
        </w:rPr>
        <w:br/>
      </w:r>
      <w:r>
        <w:rPr>
          <w:sz w:val="22"/>
          <w:szCs w:val="22"/>
        </w:rPr>
        <w:t>S</w:t>
      </w:r>
      <w:r w:rsidRPr="00FE7FB7">
        <w:rPr>
          <w:sz w:val="22"/>
          <w:szCs w:val="22"/>
        </w:rPr>
        <w:t xml:space="preserve">es </w:t>
      </w:r>
      <w:proofErr w:type="spellStart"/>
      <w:r w:rsidRPr="00FE7FB7">
        <w:rPr>
          <w:sz w:val="22"/>
          <w:szCs w:val="22"/>
        </w:rPr>
        <w:t>activités</w:t>
      </w:r>
      <w:proofErr w:type="spellEnd"/>
      <w:r w:rsidRPr="00FE7FB7">
        <w:rPr>
          <w:sz w:val="22"/>
          <w:szCs w:val="22"/>
        </w:rPr>
        <w:t xml:space="preserve"> de recherche portent sur deux champs: le premier sur les processus d’apprentissage des </w:t>
      </w:r>
      <w:proofErr w:type="spellStart"/>
      <w:r w:rsidRPr="00FE7FB7">
        <w:rPr>
          <w:sz w:val="22"/>
          <w:szCs w:val="22"/>
        </w:rPr>
        <w:t>élèves</w:t>
      </w:r>
      <w:proofErr w:type="spellEnd"/>
      <w:r w:rsidRPr="00FE7FB7">
        <w:rPr>
          <w:sz w:val="22"/>
          <w:szCs w:val="22"/>
        </w:rPr>
        <w:t xml:space="preserve"> (notamment la lecture) et le </w:t>
      </w:r>
      <w:proofErr w:type="spellStart"/>
      <w:r w:rsidRPr="00FE7FB7">
        <w:rPr>
          <w:sz w:val="22"/>
          <w:szCs w:val="22"/>
        </w:rPr>
        <w:t>développement</w:t>
      </w:r>
      <w:proofErr w:type="spellEnd"/>
      <w:r w:rsidRPr="00FE7FB7">
        <w:rPr>
          <w:sz w:val="22"/>
          <w:szCs w:val="22"/>
        </w:rPr>
        <w:t xml:space="preserve"> des fonctions </w:t>
      </w:r>
      <w:proofErr w:type="spellStart"/>
      <w:r w:rsidRPr="00FE7FB7">
        <w:rPr>
          <w:sz w:val="22"/>
          <w:szCs w:val="22"/>
        </w:rPr>
        <w:t>exécutives</w:t>
      </w:r>
      <w:proofErr w:type="spellEnd"/>
      <w:r w:rsidRPr="00FE7FB7">
        <w:rPr>
          <w:sz w:val="22"/>
          <w:szCs w:val="22"/>
        </w:rPr>
        <w:t>, le second sur l’</w:t>
      </w:r>
      <w:proofErr w:type="spellStart"/>
      <w:r w:rsidRPr="00FE7FB7">
        <w:rPr>
          <w:sz w:val="22"/>
          <w:szCs w:val="22"/>
        </w:rPr>
        <w:t>ingénierie</w:t>
      </w:r>
      <w:proofErr w:type="spellEnd"/>
      <w:r w:rsidRPr="00FE7FB7">
        <w:rPr>
          <w:sz w:val="22"/>
          <w:szCs w:val="22"/>
        </w:rPr>
        <w:t xml:space="preserve"> </w:t>
      </w:r>
      <w:proofErr w:type="spellStart"/>
      <w:r w:rsidRPr="00FE7FB7">
        <w:rPr>
          <w:sz w:val="22"/>
          <w:szCs w:val="22"/>
        </w:rPr>
        <w:t>pédagogique</w:t>
      </w:r>
      <w:proofErr w:type="spellEnd"/>
      <w:r w:rsidRPr="00FE7FB7">
        <w:rPr>
          <w:sz w:val="22"/>
          <w:szCs w:val="22"/>
        </w:rPr>
        <w:t xml:space="preserve"> (formation à l’</w:t>
      </w:r>
      <w:proofErr w:type="spellStart"/>
      <w:r w:rsidRPr="00FE7FB7">
        <w:rPr>
          <w:sz w:val="22"/>
          <w:szCs w:val="22"/>
        </w:rPr>
        <w:t>Éducation</w:t>
      </w:r>
      <w:proofErr w:type="spellEnd"/>
      <w:r w:rsidRPr="00FE7FB7">
        <w:rPr>
          <w:sz w:val="22"/>
          <w:szCs w:val="22"/>
        </w:rPr>
        <w:t xml:space="preserve"> Inclusive, conception de ressources et </w:t>
      </w:r>
      <w:proofErr w:type="spellStart"/>
      <w:r w:rsidRPr="00FE7FB7">
        <w:rPr>
          <w:sz w:val="22"/>
          <w:szCs w:val="22"/>
        </w:rPr>
        <w:t>implémentation</w:t>
      </w:r>
      <w:proofErr w:type="spellEnd"/>
      <w:r w:rsidRPr="00FE7FB7">
        <w:rPr>
          <w:sz w:val="22"/>
          <w:szCs w:val="22"/>
        </w:rPr>
        <w:t>) et l’</w:t>
      </w:r>
      <w:proofErr w:type="spellStart"/>
      <w:r w:rsidRPr="00FE7FB7">
        <w:rPr>
          <w:sz w:val="22"/>
          <w:szCs w:val="22"/>
        </w:rPr>
        <w:t>évaluation</w:t>
      </w:r>
      <w:proofErr w:type="spellEnd"/>
      <w:r w:rsidRPr="00FE7FB7">
        <w:rPr>
          <w:sz w:val="22"/>
          <w:szCs w:val="22"/>
        </w:rPr>
        <w:t xml:space="preserve"> des formations.</w:t>
      </w:r>
      <w:r w:rsidRPr="00FE7FB7">
        <w:rPr>
          <w:sz w:val="22"/>
          <w:szCs w:val="22"/>
        </w:rPr>
        <w:br/>
      </w:r>
      <w:r>
        <w:rPr>
          <w:sz w:val="22"/>
          <w:szCs w:val="22"/>
        </w:rPr>
        <w:t xml:space="preserve">Elle </w:t>
      </w:r>
      <w:r w:rsidRPr="00FE7FB7">
        <w:rPr>
          <w:sz w:val="22"/>
          <w:szCs w:val="22"/>
        </w:rPr>
        <w:t>intervien</w:t>
      </w:r>
      <w:r>
        <w:rPr>
          <w:sz w:val="22"/>
          <w:szCs w:val="22"/>
        </w:rPr>
        <w:t>t</w:t>
      </w:r>
      <w:r w:rsidRPr="00FE7FB7">
        <w:rPr>
          <w:sz w:val="22"/>
          <w:szCs w:val="22"/>
        </w:rPr>
        <w:t xml:space="preserve"> dans la formation initiale des </w:t>
      </w:r>
      <w:proofErr w:type="spellStart"/>
      <w:r w:rsidRPr="00FE7FB7">
        <w:rPr>
          <w:sz w:val="22"/>
          <w:szCs w:val="22"/>
        </w:rPr>
        <w:t>futur·e·s</w:t>
      </w:r>
      <w:proofErr w:type="spellEnd"/>
      <w:r w:rsidRPr="00FE7FB7">
        <w:rPr>
          <w:sz w:val="22"/>
          <w:szCs w:val="22"/>
        </w:rPr>
        <w:t xml:space="preserve"> </w:t>
      </w:r>
      <w:proofErr w:type="spellStart"/>
      <w:r w:rsidRPr="00FE7FB7">
        <w:rPr>
          <w:sz w:val="22"/>
          <w:szCs w:val="22"/>
        </w:rPr>
        <w:t>enseignant·e·s</w:t>
      </w:r>
      <w:proofErr w:type="spellEnd"/>
      <w:r w:rsidRPr="00FE7FB7">
        <w:rPr>
          <w:sz w:val="22"/>
          <w:szCs w:val="22"/>
        </w:rPr>
        <w:t xml:space="preserve"> mais aussi en formation continue (CAPPEI, CAFIPEMF, formation de </w:t>
      </w:r>
      <w:proofErr w:type="spellStart"/>
      <w:r w:rsidRPr="00FE7FB7">
        <w:rPr>
          <w:sz w:val="22"/>
          <w:szCs w:val="22"/>
        </w:rPr>
        <w:t>formateur·ice·s</w:t>
      </w:r>
      <w:proofErr w:type="spellEnd"/>
      <w:r w:rsidRPr="00FE7FB7">
        <w:rPr>
          <w:sz w:val="22"/>
          <w:szCs w:val="22"/>
        </w:rPr>
        <w:t xml:space="preserve">) en Normandie. </w:t>
      </w:r>
    </w:p>
    <w:p w:rsidR="00FE7FB7" w:rsidRPr="00FE7FB7" w:rsidRDefault="00FE7FB7" w:rsidP="006667BE">
      <w:pPr>
        <w:spacing w:line="259" w:lineRule="auto"/>
        <w:rPr>
          <w:rFonts w:eastAsia="Calibri" w:cs="Times New Roman"/>
          <w:kern w:val="0"/>
          <w:sz w:val="22"/>
          <w:szCs w:val="22"/>
          <w14:ligatures w14:val="none"/>
        </w:rPr>
      </w:pPr>
    </w:p>
    <w:p w:rsidR="006667BE" w:rsidRPr="006667BE" w:rsidRDefault="006667BE" w:rsidP="006667BE">
      <w:pPr>
        <w:rPr>
          <w:rFonts w:cstheme="minorHAnsi"/>
          <w:sz w:val="22"/>
          <w:szCs w:val="22"/>
        </w:rPr>
      </w:pPr>
    </w:p>
    <w:p w:rsidR="00FE7FB7" w:rsidRPr="009D73B4" w:rsidRDefault="00FE7FB7" w:rsidP="00FE7FB7">
      <w:pPr>
        <w:jc w:val="both"/>
        <w:rPr>
          <w:b/>
          <w:bCs/>
          <w:sz w:val="22"/>
          <w:szCs w:val="22"/>
        </w:rPr>
      </w:pPr>
      <w:r w:rsidRPr="009D73B4">
        <w:rPr>
          <w:b/>
          <w:bCs/>
          <w:sz w:val="22"/>
          <w:szCs w:val="22"/>
        </w:rPr>
        <w:t xml:space="preserve">(Se) Former à l’inclusion : comment la participation à une formation influence-t-elle le sentiment d’efficacité personnelle des </w:t>
      </w:r>
      <w:proofErr w:type="spellStart"/>
      <w:r w:rsidRPr="009D73B4">
        <w:rPr>
          <w:b/>
          <w:bCs/>
          <w:sz w:val="22"/>
          <w:szCs w:val="22"/>
        </w:rPr>
        <w:t>formateur·ice·s</w:t>
      </w:r>
      <w:proofErr w:type="spellEnd"/>
      <w:r w:rsidRPr="009D73B4">
        <w:rPr>
          <w:b/>
          <w:bCs/>
          <w:sz w:val="22"/>
          <w:szCs w:val="22"/>
        </w:rPr>
        <w:t xml:space="preserve"> intervenant en Master MEEF ? </w:t>
      </w:r>
    </w:p>
    <w:p w:rsidR="00FE7FB7" w:rsidRDefault="00FE7FB7" w:rsidP="00FE7FB7"/>
    <w:p w:rsidR="00FE7FB7" w:rsidRPr="00FE7FB7" w:rsidRDefault="00FE7FB7" w:rsidP="00FE7FB7">
      <w:pPr>
        <w:rPr>
          <w:sz w:val="22"/>
          <w:szCs w:val="22"/>
        </w:rPr>
      </w:pPr>
      <w:r w:rsidRPr="00FE7FB7">
        <w:rPr>
          <w:sz w:val="22"/>
          <w:szCs w:val="22"/>
        </w:rPr>
        <w:t>Rendre l’université plus accessible devrait permettre de « placer chaque étudiant en position d’exercer le métier d’étudiant » (</w:t>
      </w:r>
      <w:proofErr w:type="spellStart"/>
      <w:r w:rsidRPr="00FE7FB7">
        <w:rPr>
          <w:sz w:val="22"/>
          <w:szCs w:val="22"/>
        </w:rPr>
        <w:t>Ebersold</w:t>
      </w:r>
      <w:proofErr w:type="spellEnd"/>
      <w:r w:rsidRPr="00FE7FB7">
        <w:rPr>
          <w:sz w:val="22"/>
          <w:szCs w:val="22"/>
        </w:rPr>
        <w:t xml:space="preserve">, Camps &amp; McEwen, 2025). Or, les </w:t>
      </w:r>
      <w:proofErr w:type="spellStart"/>
      <w:r w:rsidRPr="00FE7FB7">
        <w:rPr>
          <w:sz w:val="22"/>
          <w:szCs w:val="22"/>
        </w:rPr>
        <w:t>enseignant·e·s</w:t>
      </w:r>
      <w:proofErr w:type="spellEnd"/>
      <w:r w:rsidRPr="00FE7FB7">
        <w:rPr>
          <w:sz w:val="22"/>
          <w:szCs w:val="22"/>
        </w:rPr>
        <w:t xml:space="preserve"> du </w:t>
      </w:r>
      <w:r w:rsidRPr="00FE7FB7">
        <w:rPr>
          <w:sz w:val="22"/>
          <w:szCs w:val="22"/>
        </w:rPr>
        <w:lastRenderedPageBreak/>
        <w:t>supérieur ont des pratiques pédagogiques encore peu adaptées et très éloignées de la Conception Universelle des Apprentissages (CUA) (</w:t>
      </w:r>
      <w:proofErr w:type="spellStart"/>
      <w:r w:rsidRPr="00FE7FB7">
        <w:rPr>
          <w:sz w:val="22"/>
          <w:szCs w:val="22"/>
        </w:rPr>
        <w:t>Kennel</w:t>
      </w:r>
      <w:proofErr w:type="spellEnd"/>
      <w:r w:rsidRPr="00FE7FB7">
        <w:rPr>
          <w:sz w:val="22"/>
          <w:szCs w:val="22"/>
        </w:rPr>
        <w:t xml:space="preserve"> et al., 2021 ; Perez et </w:t>
      </w:r>
      <w:proofErr w:type="spellStart"/>
      <w:r w:rsidRPr="00FE7FB7">
        <w:rPr>
          <w:sz w:val="22"/>
          <w:szCs w:val="22"/>
        </w:rPr>
        <w:t>Suau</w:t>
      </w:r>
      <w:proofErr w:type="spellEnd"/>
      <w:r w:rsidRPr="00FE7FB7">
        <w:rPr>
          <w:sz w:val="22"/>
          <w:szCs w:val="22"/>
        </w:rPr>
        <w:t>, 2023 et 2025). De plus, les formations à l’éducation inclusive (EI) sont encore insuffisantes pour une part non négligeable d’</w:t>
      </w:r>
      <w:proofErr w:type="spellStart"/>
      <w:r w:rsidRPr="00FE7FB7">
        <w:rPr>
          <w:sz w:val="22"/>
          <w:szCs w:val="22"/>
        </w:rPr>
        <w:t>enseignant·e·s</w:t>
      </w:r>
      <w:proofErr w:type="spellEnd"/>
      <w:r w:rsidRPr="00FE7FB7">
        <w:rPr>
          <w:sz w:val="22"/>
          <w:szCs w:val="22"/>
        </w:rPr>
        <w:t xml:space="preserve">, que ce soit en formation initiale ou continue (Jury et al., 2025). Dans ce contexte, notre formation à l’EI à destination de </w:t>
      </w:r>
      <w:proofErr w:type="spellStart"/>
      <w:r w:rsidRPr="00FE7FB7">
        <w:rPr>
          <w:sz w:val="22"/>
          <w:szCs w:val="22"/>
        </w:rPr>
        <w:t>formateur·ice·s</w:t>
      </w:r>
      <w:proofErr w:type="spellEnd"/>
      <w:r w:rsidRPr="00FE7FB7">
        <w:rPr>
          <w:sz w:val="22"/>
          <w:szCs w:val="22"/>
        </w:rPr>
        <w:t xml:space="preserve"> de </w:t>
      </w:r>
      <w:proofErr w:type="spellStart"/>
      <w:r w:rsidRPr="00FE7FB7">
        <w:rPr>
          <w:sz w:val="22"/>
          <w:szCs w:val="22"/>
        </w:rPr>
        <w:t>futur·e·s</w:t>
      </w:r>
      <w:proofErr w:type="spellEnd"/>
      <w:r w:rsidRPr="00FE7FB7">
        <w:rPr>
          <w:sz w:val="22"/>
          <w:szCs w:val="22"/>
        </w:rPr>
        <w:t xml:space="preserve"> </w:t>
      </w:r>
      <w:proofErr w:type="spellStart"/>
      <w:r w:rsidRPr="00FE7FB7">
        <w:rPr>
          <w:sz w:val="22"/>
          <w:szCs w:val="22"/>
        </w:rPr>
        <w:t>enseignant·e·s</w:t>
      </w:r>
      <w:proofErr w:type="spellEnd"/>
      <w:r w:rsidRPr="00FE7FB7">
        <w:rPr>
          <w:sz w:val="22"/>
          <w:szCs w:val="22"/>
        </w:rPr>
        <w:t xml:space="preserve"> court un double objectif : former les </w:t>
      </w:r>
      <w:proofErr w:type="spellStart"/>
      <w:r w:rsidRPr="00FE7FB7">
        <w:rPr>
          <w:sz w:val="22"/>
          <w:szCs w:val="22"/>
        </w:rPr>
        <w:t>formateur·ice·s</w:t>
      </w:r>
      <w:proofErr w:type="spellEnd"/>
      <w:r w:rsidRPr="00FE7FB7">
        <w:rPr>
          <w:sz w:val="22"/>
          <w:szCs w:val="22"/>
        </w:rPr>
        <w:t xml:space="preserve"> à l’EI pour qu’ils rendent leurs enseignements accessibles (notamment grâce à la CUA) et qu’ils/elles forment les </w:t>
      </w:r>
      <w:proofErr w:type="spellStart"/>
      <w:r w:rsidRPr="00FE7FB7">
        <w:rPr>
          <w:sz w:val="22"/>
          <w:szCs w:val="22"/>
        </w:rPr>
        <w:t>enseignant·e·s</w:t>
      </w:r>
      <w:proofErr w:type="spellEnd"/>
      <w:r w:rsidRPr="00FE7FB7">
        <w:rPr>
          <w:sz w:val="22"/>
          <w:szCs w:val="22"/>
        </w:rPr>
        <w:t xml:space="preserve"> à l’EI.</w:t>
      </w:r>
    </w:p>
    <w:p w:rsidR="00FE7FB7" w:rsidRPr="00FE7FB7" w:rsidRDefault="00FE7FB7" w:rsidP="00FE7FB7">
      <w:pPr>
        <w:rPr>
          <w:sz w:val="22"/>
          <w:szCs w:val="22"/>
        </w:rPr>
      </w:pPr>
      <w:r w:rsidRPr="00FE7FB7">
        <w:rPr>
          <w:sz w:val="22"/>
          <w:szCs w:val="22"/>
        </w:rPr>
        <w:t xml:space="preserve">Former à l’EI permettrait d’améliorer le Sentiment d’Efficacité Personnelle (SEP ; Bandura, 1997) des </w:t>
      </w:r>
      <w:proofErr w:type="spellStart"/>
      <w:r w:rsidRPr="00FE7FB7">
        <w:rPr>
          <w:sz w:val="22"/>
          <w:szCs w:val="22"/>
        </w:rPr>
        <w:t>formé·e·s</w:t>
      </w:r>
      <w:proofErr w:type="spellEnd"/>
      <w:r w:rsidRPr="00FE7FB7">
        <w:rPr>
          <w:sz w:val="22"/>
          <w:szCs w:val="22"/>
        </w:rPr>
        <w:t xml:space="preserve"> (</w:t>
      </w:r>
      <w:proofErr w:type="spellStart"/>
      <w:r w:rsidRPr="00FE7FB7">
        <w:rPr>
          <w:sz w:val="22"/>
          <w:szCs w:val="22"/>
        </w:rPr>
        <w:t>Desombre</w:t>
      </w:r>
      <w:proofErr w:type="spellEnd"/>
      <w:r w:rsidRPr="00FE7FB7">
        <w:rPr>
          <w:sz w:val="22"/>
          <w:szCs w:val="22"/>
        </w:rPr>
        <w:t xml:space="preserve"> et al., 2019 ; Wray et al., 2022) : plus le SEP des enseignant·e·</w:t>
      </w:r>
      <w:proofErr w:type="spellStart"/>
      <w:r w:rsidRPr="00FE7FB7">
        <w:rPr>
          <w:sz w:val="22"/>
          <w:szCs w:val="22"/>
        </w:rPr>
        <w:t>s est</w:t>
      </w:r>
      <w:proofErr w:type="spellEnd"/>
      <w:r w:rsidRPr="00FE7FB7">
        <w:rPr>
          <w:sz w:val="22"/>
          <w:szCs w:val="22"/>
        </w:rPr>
        <w:t xml:space="preserve"> élevé, plus ils/elles sont </w:t>
      </w:r>
      <w:proofErr w:type="spellStart"/>
      <w:r w:rsidRPr="00FE7FB7">
        <w:rPr>
          <w:sz w:val="22"/>
          <w:szCs w:val="22"/>
        </w:rPr>
        <w:t>motivé·e·s</w:t>
      </w:r>
      <w:proofErr w:type="spellEnd"/>
      <w:r w:rsidRPr="00FE7FB7">
        <w:rPr>
          <w:sz w:val="22"/>
          <w:szCs w:val="22"/>
        </w:rPr>
        <w:t xml:space="preserve"> (Bandura, 2019), enclin à changer leurs pratiques (</w:t>
      </w:r>
      <w:proofErr w:type="spellStart"/>
      <w:r w:rsidRPr="00FE7FB7">
        <w:rPr>
          <w:sz w:val="22"/>
          <w:szCs w:val="22"/>
        </w:rPr>
        <w:t>Poellµhuber</w:t>
      </w:r>
      <w:proofErr w:type="spellEnd"/>
      <w:r w:rsidRPr="00FE7FB7">
        <w:rPr>
          <w:sz w:val="22"/>
          <w:szCs w:val="22"/>
        </w:rPr>
        <w:t xml:space="preserve"> et Michelot, 2023) et à proposer des activités pédagogiques inclusives (Bandura, 2007), permettant ainsi une meilleure réussite des </w:t>
      </w:r>
      <w:proofErr w:type="spellStart"/>
      <w:r w:rsidRPr="00FE7FB7">
        <w:rPr>
          <w:sz w:val="22"/>
          <w:szCs w:val="22"/>
        </w:rPr>
        <w:t>apprenant·e·s</w:t>
      </w:r>
      <w:proofErr w:type="spellEnd"/>
      <w:r w:rsidRPr="00FE7FB7">
        <w:rPr>
          <w:sz w:val="22"/>
          <w:szCs w:val="22"/>
        </w:rPr>
        <w:t xml:space="preserve"> (Gagnon et Fournier Dubé, 2021). Notre objectif est d’étudier l’évolution du SEP des </w:t>
      </w:r>
      <w:proofErr w:type="spellStart"/>
      <w:r w:rsidRPr="00FE7FB7">
        <w:rPr>
          <w:sz w:val="22"/>
          <w:szCs w:val="22"/>
        </w:rPr>
        <w:t>formé·e·s</w:t>
      </w:r>
      <w:proofErr w:type="spellEnd"/>
      <w:r w:rsidRPr="00FE7FB7">
        <w:rPr>
          <w:sz w:val="22"/>
          <w:szCs w:val="22"/>
        </w:rPr>
        <w:t xml:space="preserve"> en comparant leurs réponses à un questionnaire en début puis en fin de formation. Notre étude préliminaire (Dujardin, 2024) indique qu’à l’entrée en formation, les </w:t>
      </w:r>
      <w:proofErr w:type="spellStart"/>
      <w:r w:rsidRPr="00FE7FB7">
        <w:rPr>
          <w:sz w:val="22"/>
          <w:szCs w:val="22"/>
        </w:rPr>
        <w:t>participant·e·s</w:t>
      </w:r>
      <w:proofErr w:type="spellEnd"/>
      <w:r w:rsidRPr="00FE7FB7">
        <w:rPr>
          <w:sz w:val="22"/>
          <w:szCs w:val="22"/>
        </w:rPr>
        <w:t xml:space="preserve"> ont un SEP associé à la maîtrise d'une connaissance / compétence reliée à l’EI plus élevé que le SEP associé à la mise en place d'une situation de formation permettant aux </w:t>
      </w:r>
      <w:proofErr w:type="spellStart"/>
      <w:r w:rsidRPr="00FE7FB7">
        <w:rPr>
          <w:sz w:val="22"/>
          <w:szCs w:val="22"/>
        </w:rPr>
        <w:t>étudiant·e·s</w:t>
      </w:r>
      <w:proofErr w:type="spellEnd"/>
      <w:r w:rsidRPr="00FE7FB7">
        <w:rPr>
          <w:sz w:val="22"/>
          <w:szCs w:val="22"/>
        </w:rPr>
        <w:t xml:space="preserve"> de développer cette même connaissance / compétence. De plus, leur SEP concernant la CUA est assez faible. Nous présenterons l’évolution du SEP à l’issue du premier module de formation et discuterons des effets – ou non – de la formation.</w:t>
      </w:r>
    </w:p>
    <w:p w:rsidR="00FE7FB7" w:rsidRPr="00FE7FB7" w:rsidRDefault="00FE7FB7" w:rsidP="00FE7FB7">
      <w:pPr>
        <w:rPr>
          <w:sz w:val="22"/>
          <w:szCs w:val="22"/>
        </w:rPr>
      </w:pPr>
    </w:p>
    <w:p w:rsidR="00FE7FB7" w:rsidRPr="00FE7FB7" w:rsidRDefault="00FE7FB7" w:rsidP="00FE7FB7">
      <w:pPr>
        <w:rPr>
          <w:sz w:val="22"/>
          <w:szCs w:val="22"/>
          <w:lang w:val="en-US"/>
        </w:rPr>
      </w:pPr>
      <w:proofErr w:type="spellStart"/>
      <w:proofErr w:type="gramStart"/>
      <w:r w:rsidRPr="00FE7FB7">
        <w:rPr>
          <w:sz w:val="22"/>
          <w:szCs w:val="22"/>
          <w:lang w:val="en-US"/>
        </w:rPr>
        <w:t>Bibliographie</w:t>
      </w:r>
      <w:proofErr w:type="spellEnd"/>
      <w:r w:rsidRPr="00FE7FB7">
        <w:rPr>
          <w:sz w:val="22"/>
          <w:szCs w:val="22"/>
          <w:lang w:val="en-US"/>
        </w:rPr>
        <w:t xml:space="preserve"> :</w:t>
      </w:r>
      <w:proofErr w:type="gramEnd"/>
      <w:r w:rsidRPr="00FE7FB7">
        <w:rPr>
          <w:sz w:val="22"/>
          <w:szCs w:val="22"/>
          <w:lang w:val="en-US"/>
        </w:rPr>
        <w:t xml:space="preserve"> </w:t>
      </w:r>
    </w:p>
    <w:p w:rsidR="00FE7FB7" w:rsidRPr="00FE7FB7" w:rsidRDefault="00FE7FB7" w:rsidP="00FE7FB7">
      <w:pPr>
        <w:rPr>
          <w:sz w:val="22"/>
          <w:szCs w:val="22"/>
          <w:lang w:val="en-US"/>
        </w:rPr>
      </w:pPr>
      <w:r w:rsidRPr="00FE7FB7">
        <w:rPr>
          <w:sz w:val="22"/>
          <w:szCs w:val="22"/>
          <w:lang w:val="en-US"/>
        </w:rPr>
        <w:t xml:space="preserve">Bandura, A. (1997). </w:t>
      </w:r>
      <w:r w:rsidRPr="00FE7FB7">
        <w:rPr>
          <w:i/>
          <w:iCs/>
          <w:sz w:val="22"/>
          <w:szCs w:val="22"/>
          <w:lang w:val="en-US"/>
        </w:rPr>
        <w:t>Self-</w:t>
      </w:r>
      <w:proofErr w:type="gramStart"/>
      <w:r w:rsidRPr="00FE7FB7">
        <w:rPr>
          <w:i/>
          <w:iCs/>
          <w:sz w:val="22"/>
          <w:szCs w:val="22"/>
          <w:lang w:val="en-US"/>
        </w:rPr>
        <w:t>efficacy :</w:t>
      </w:r>
      <w:proofErr w:type="gramEnd"/>
      <w:r w:rsidRPr="00FE7FB7">
        <w:rPr>
          <w:i/>
          <w:iCs/>
          <w:sz w:val="22"/>
          <w:szCs w:val="22"/>
          <w:lang w:val="en-US"/>
        </w:rPr>
        <w:t xml:space="preserve"> The exercise of control</w:t>
      </w:r>
      <w:r w:rsidRPr="00FE7FB7">
        <w:rPr>
          <w:sz w:val="22"/>
          <w:szCs w:val="22"/>
          <w:lang w:val="en-US"/>
        </w:rPr>
        <w:t xml:space="preserve">. New </w:t>
      </w:r>
      <w:proofErr w:type="gramStart"/>
      <w:r w:rsidRPr="00FE7FB7">
        <w:rPr>
          <w:sz w:val="22"/>
          <w:szCs w:val="22"/>
          <w:lang w:val="en-US"/>
        </w:rPr>
        <w:t>York :</w:t>
      </w:r>
      <w:proofErr w:type="gramEnd"/>
      <w:r w:rsidRPr="00FE7FB7">
        <w:rPr>
          <w:sz w:val="22"/>
          <w:szCs w:val="22"/>
          <w:lang w:val="en-US"/>
        </w:rPr>
        <w:t xml:space="preserve"> Freeman. </w:t>
      </w:r>
    </w:p>
    <w:p w:rsidR="00FE7FB7" w:rsidRPr="00FE7FB7" w:rsidRDefault="00FE7FB7" w:rsidP="00FE7FB7">
      <w:pPr>
        <w:rPr>
          <w:sz w:val="22"/>
          <w:szCs w:val="22"/>
        </w:rPr>
      </w:pPr>
      <w:r w:rsidRPr="00FE7FB7">
        <w:rPr>
          <w:sz w:val="22"/>
          <w:szCs w:val="22"/>
        </w:rPr>
        <w:t xml:space="preserve">Bandura, A. (2007). </w:t>
      </w:r>
      <w:r w:rsidRPr="00FE7FB7">
        <w:rPr>
          <w:i/>
          <w:iCs/>
          <w:sz w:val="22"/>
          <w:szCs w:val="22"/>
        </w:rPr>
        <w:t>Auto-efficacité : Le sentiment d’efficacité personnelle</w:t>
      </w:r>
      <w:r w:rsidRPr="00FE7FB7">
        <w:rPr>
          <w:sz w:val="22"/>
          <w:szCs w:val="22"/>
        </w:rPr>
        <w:t xml:space="preserve">. (2ème édition). Bruxelles, Belgique : De Boeck Université. </w:t>
      </w:r>
    </w:p>
    <w:p w:rsidR="00FE7FB7" w:rsidRPr="00FE7FB7" w:rsidRDefault="00FE7FB7" w:rsidP="00FE7FB7">
      <w:pPr>
        <w:rPr>
          <w:sz w:val="22"/>
          <w:szCs w:val="22"/>
          <w:lang w:val="en-US"/>
        </w:rPr>
      </w:pPr>
      <w:r w:rsidRPr="00FE7FB7">
        <w:rPr>
          <w:sz w:val="22"/>
          <w:szCs w:val="22"/>
        </w:rPr>
        <w:t xml:space="preserve">Bandura, A (2019). </w:t>
      </w:r>
      <w:r w:rsidRPr="00FE7FB7">
        <w:rPr>
          <w:i/>
          <w:iCs/>
          <w:sz w:val="22"/>
          <w:szCs w:val="22"/>
        </w:rPr>
        <w:t xml:space="preserve">Auto-efficacité. Comment le sentiment d’efficacité personnelle influence notre qualité de vie </w:t>
      </w:r>
      <w:r w:rsidRPr="00FE7FB7">
        <w:rPr>
          <w:sz w:val="22"/>
          <w:szCs w:val="22"/>
        </w:rPr>
        <w:t xml:space="preserve">(3e édition). </w:t>
      </w:r>
      <w:r w:rsidRPr="00FE7FB7">
        <w:rPr>
          <w:sz w:val="22"/>
          <w:szCs w:val="22"/>
          <w:lang w:val="en-US"/>
        </w:rPr>
        <w:t xml:space="preserve">De </w:t>
      </w:r>
      <w:proofErr w:type="spellStart"/>
      <w:r w:rsidRPr="00FE7FB7">
        <w:rPr>
          <w:sz w:val="22"/>
          <w:szCs w:val="22"/>
          <w:lang w:val="en-US"/>
        </w:rPr>
        <w:t>Boeck</w:t>
      </w:r>
      <w:proofErr w:type="spellEnd"/>
      <w:r w:rsidRPr="00FE7FB7">
        <w:rPr>
          <w:sz w:val="22"/>
          <w:szCs w:val="22"/>
          <w:lang w:val="en-US"/>
        </w:rPr>
        <w:t xml:space="preserve"> </w:t>
      </w:r>
      <w:proofErr w:type="spellStart"/>
      <w:r w:rsidRPr="00FE7FB7">
        <w:rPr>
          <w:sz w:val="22"/>
          <w:szCs w:val="22"/>
          <w:lang w:val="en-US"/>
        </w:rPr>
        <w:t>Supérieur</w:t>
      </w:r>
      <w:proofErr w:type="spellEnd"/>
      <w:r w:rsidRPr="00FE7FB7">
        <w:rPr>
          <w:sz w:val="22"/>
          <w:szCs w:val="22"/>
          <w:lang w:val="en-US"/>
        </w:rPr>
        <w:t xml:space="preserve">. </w:t>
      </w:r>
    </w:p>
    <w:p w:rsidR="006667BE" w:rsidRPr="00FE7FB7" w:rsidRDefault="00FE7FB7" w:rsidP="00FE7FB7">
      <w:pPr>
        <w:jc w:val="both"/>
        <w:rPr>
          <w:rFonts w:cstheme="minorHAnsi"/>
          <w:sz w:val="22"/>
          <w:szCs w:val="22"/>
        </w:rPr>
      </w:pPr>
      <w:r w:rsidRPr="00FE7FB7">
        <w:rPr>
          <w:sz w:val="22"/>
          <w:szCs w:val="22"/>
          <w:lang w:val="en-US"/>
        </w:rPr>
        <w:t xml:space="preserve">CAST (2011). </w:t>
      </w:r>
      <w:r w:rsidRPr="00FE7FB7">
        <w:rPr>
          <w:i/>
          <w:iCs/>
          <w:sz w:val="22"/>
          <w:szCs w:val="22"/>
          <w:lang w:val="en-US"/>
        </w:rPr>
        <w:t>Universal Design for Learning Guidelines version 2.0.</w:t>
      </w:r>
      <w:r w:rsidRPr="00FE7FB7">
        <w:rPr>
          <w:sz w:val="22"/>
          <w:szCs w:val="22"/>
          <w:lang w:val="en-US"/>
        </w:rPr>
        <w:t xml:space="preserve"> Wakefield, </w:t>
      </w:r>
      <w:proofErr w:type="gramStart"/>
      <w:r w:rsidRPr="00FE7FB7">
        <w:rPr>
          <w:sz w:val="22"/>
          <w:szCs w:val="22"/>
          <w:lang w:val="en-US"/>
        </w:rPr>
        <w:t>MA :</w:t>
      </w:r>
      <w:proofErr w:type="gramEnd"/>
      <w:r w:rsidRPr="00FE7FB7">
        <w:rPr>
          <w:sz w:val="22"/>
          <w:szCs w:val="22"/>
          <w:lang w:val="en-US"/>
        </w:rPr>
        <w:t xml:space="preserve"> Author. </w:t>
      </w:r>
      <w:proofErr w:type="spellStart"/>
      <w:r w:rsidRPr="00FE7FB7">
        <w:rPr>
          <w:sz w:val="22"/>
          <w:szCs w:val="22"/>
          <w:lang w:val="en-US"/>
        </w:rPr>
        <w:t>Desombre</w:t>
      </w:r>
      <w:proofErr w:type="spellEnd"/>
      <w:r w:rsidRPr="00FE7FB7">
        <w:rPr>
          <w:sz w:val="22"/>
          <w:szCs w:val="22"/>
          <w:lang w:val="en-US"/>
        </w:rPr>
        <w:t xml:space="preserve">, C., </w:t>
      </w:r>
      <w:proofErr w:type="spellStart"/>
      <w:r w:rsidRPr="00FE7FB7">
        <w:rPr>
          <w:sz w:val="22"/>
          <w:szCs w:val="22"/>
          <w:lang w:val="en-US"/>
        </w:rPr>
        <w:t>Lamotte</w:t>
      </w:r>
      <w:proofErr w:type="spellEnd"/>
      <w:r w:rsidRPr="00FE7FB7">
        <w:rPr>
          <w:sz w:val="22"/>
          <w:szCs w:val="22"/>
          <w:lang w:val="en-US"/>
        </w:rPr>
        <w:t xml:space="preserve">, M., &amp; Jury, M. (2019). French teachers’ general attitude toward inclusion: the indirect effect of teacher efficacy. </w:t>
      </w:r>
      <w:proofErr w:type="spellStart"/>
      <w:r w:rsidRPr="00FE7FB7">
        <w:rPr>
          <w:i/>
          <w:iCs/>
          <w:sz w:val="22"/>
          <w:szCs w:val="22"/>
        </w:rPr>
        <w:t>Educational</w:t>
      </w:r>
      <w:proofErr w:type="spellEnd"/>
      <w:r w:rsidRPr="00FE7FB7">
        <w:rPr>
          <w:i/>
          <w:iCs/>
          <w:sz w:val="22"/>
          <w:szCs w:val="22"/>
        </w:rPr>
        <w:t xml:space="preserve"> Psychology</w:t>
      </w:r>
      <w:r w:rsidRPr="00FE7FB7">
        <w:rPr>
          <w:sz w:val="22"/>
          <w:szCs w:val="22"/>
        </w:rPr>
        <w:t xml:space="preserve">, 39(1), 38–50. </w:t>
      </w:r>
      <w:hyperlink r:id="rId9" w:history="1">
        <w:r w:rsidRPr="00FE7FB7">
          <w:rPr>
            <w:rStyle w:val="Lienhypertexte"/>
            <w:sz w:val="22"/>
            <w:szCs w:val="22"/>
          </w:rPr>
          <w:t>https://doi.org/10.1080/01443410.2018.1472219</w:t>
        </w:r>
      </w:hyperlink>
    </w:p>
    <w:p w:rsidR="002C4CA3" w:rsidRPr="00FE7FB7" w:rsidRDefault="002C4CA3" w:rsidP="00966500">
      <w:pPr>
        <w:rPr>
          <w:sz w:val="22"/>
          <w:szCs w:val="22"/>
        </w:rPr>
      </w:pPr>
    </w:p>
    <w:p w:rsidR="00C56C44" w:rsidRDefault="00C56C44" w:rsidP="00966500">
      <w:pPr>
        <w:rPr>
          <w:sz w:val="22"/>
          <w:szCs w:val="22"/>
        </w:rPr>
      </w:pPr>
    </w:p>
    <w:p w:rsidR="00E90641" w:rsidRPr="006667BE" w:rsidRDefault="00E90641" w:rsidP="00966500">
      <w:pPr>
        <w:rPr>
          <w:sz w:val="22"/>
          <w:szCs w:val="22"/>
        </w:rPr>
      </w:pPr>
    </w:p>
    <w:p w:rsidR="009D73B4" w:rsidRPr="009D73B4" w:rsidRDefault="009D73B4" w:rsidP="009D73B4">
      <w:pPr>
        <w:pBdr>
          <w:top w:val="single" w:sz="4" w:space="1" w:color="auto"/>
          <w:left w:val="single" w:sz="4" w:space="4" w:color="auto"/>
          <w:bottom w:val="single" w:sz="4" w:space="1" w:color="auto"/>
          <w:right w:val="single" w:sz="4" w:space="4" w:color="auto"/>
        </w:pBdr>
        <w:rPr>
          <w:rFonts w:eastAsia="Times New Roman" w:cs="Times New Roman"/>
          <w:b/>
          <w:bCs/>
          <w:color w:val="0070C0"/>
          <w:kern w:val="0"/>
          <w14:ligatures w14:val="none"/>
        </w:rPr>
      </w:pPr>
      <w:proofErr w:type="spellStart"/>
      <w:r w:rsidRPr="009D73B4">
        <w:rPr>
          <w:b/>
          <w:bCs/>
          <w:color w:val="0070C0"/>
        </w:rPr>
        <w:t>Chama</w:t>
      </w:r>
      <w:proofErr w:type="spellEnd"/>
      <w:r w:rsidRPr="009D73B4">
        <w:rPr>
          <w:b/>
          <w:bCs/>
          <w:color w:val="0070C0"/>
        </w:rPr>
        <w:t xml:space="preserve"> </w:t>
      </w:r>
      <w:proofErr w:type="spellStart"/>
      <w:r w:rsidRPr="009D73B4">
        <w:rPr>
          <w:b/>
          <w:bCs/>
          <w:color w:val="0070C0"/>
        </w:rPr>
        <w:t>Elazouzi</w:t>
      </w:r>
      <w:proofErr w:type="spellEnd"/>
    </w:p>
    <w:p w:rsidR="00FE7FB7" w:rsidRPr="009D73B4" w:rsidRDefault="00FE7FB7" w:rsidP="005B3300">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color w:val="0070C0"/>
          <w:kern w:val="0"/>
          <w14:ligatures w14:val="none"/>
        </w:rPr>
      </w:pPr>
      <w:r w:rsidRPr="009D73B4">
        <w:rPr>
          <w:rFonts w:ascii="Times New Roman" w:eastAsia="Times New Roman" w:hAnsi="Times New Roman" w:cs="Times New Roman"/>
          <w:color w:val="0070C0"/>
          <w:kern w:val="0"/>
          <w14:ligatures w14:val="none"/>
        </w:rPr>
        <w:t>Accessibilité numérique et pouvoir d’agir à l’université : quand la diversité des profils rencontre la diversité des littératies</w:t>
      </w:r>
    </w:p>
    <w:p w:rsidR="00FE7FB7" w:rsidRPr="005B3300" w:rsidRDefault="00FE7FB7" w:rsidP="005B3300">
      <w:pPr>
        <w:spacing w:before="100" w:beforeAutospacing="1" w:after="100" w:afterAutospacing="1"/>
        <w:rPr>
          <w:rFonts w:eastAsia="Times New Roman" w:cs="Times New Roman"/>
          <w:kern w:val="0"/>
          <w:sz w:val="22"/>
          <w:szCs w:val="22"/>
          <w14:ligatures w14:val="none"/>
        </w:rPr>
      </w:pPr>
      <w:proofErr w:type="spellStart"/>
      <w:r w:rsidRPr="005B3300">
        <w:rPr>
          <w:rFonts w:eastAsia="Times New Roman" w:cs="Times New Roman"/>
          <w:b/>
          <w:bCs/>
          <w:kern w:val="0"/>
          <w:sz w:val="22"/>
          <w:szCs w:val="22"/>
          <w14:ligatures w14:val="none"/>
        </w:rPr>
        <w:t>Chama</w:t>
      </w:r>
      <w:proofErr w:type="spellEnd"/>
      <w:r w:rsidRPr="005B3300">
        <w:rPr>
          <w:rFonts w:eastAsia="Times New Roman" w:cs="Times New Roman"/>
          <w:b/>
          <w:bCs/>
          <w:kern w:val="0"/>
          <w:sz w:val="22"/>
          <w:szCs w:val="22"/>
          <w14:ligatures w14:val="none"/>
        </w:rPr>
        <w:t xml:space="preserve"> ELAZOUZI</w:t>
      </w:r>
      <w:r w:rsidRPr="005B3300">
        <w:rPr>
          <w:rFonts w:eastAsia="Times New Roman" w:cs="Times New Roman"/>
          <w:kern w:val="0"/>
          <w:sz w:val="22"/>
          <w:szCs w:val="22"/>
          <w14:ligatures w14:val="none"/>
        </w:rPr>
        <w:t xml:space="preserve"> est doctorante en sciences du langage / sociolinguistique. Elle est rattachée au Laboratoire Sciences du Langage, Littérature, Arts, Communication, Histoire et Éducation (SLLACHE), Université Sidi Mohamed Ben Abdellah, </w:t>
      </w:r>
      <w:proofErr w:type="spellStart"/>
      <w:r w:rsidRPr="005B3300">
        <w:rPr>
          <w:rFonts w:eastAsia="Times New Roman" w:cs="Times New Roman"/>
          <w:kern w:val="0"/>
          <w:sz w:val="22"/>
          <w:szCs w:val="22"/>
          <w14:ligatures w14:val="none"/>
        </w:rPr>
        <w:t>Dhar</w:t>
      </w:r>
      <w:proofErr w:type="spellEnd"/>
      <w:r w:rsidRPr="005B3300">
        <w:rPr>
          <w:rFonts w:eastAsia="Times New Roman" w:cs="Times New Roman"/>
          <w:kern w:val="0"/>
          <w:sz w:val="22"/>
          <w:szCs w:val="22"/>
          <w14:ligatures w14:val="none"/>
        </w:rPr>
        <w:t xml:space="preserve"> El </w:t>
      </w:r>
      <w:proofErr w:type="spellStart"/>
      <w:r w:rsidRPr="005B3300">
        <w:rPr>
          <w:rFonts w:eastAsia="Times New Roman" w:cs="Times New Roman"/>
          <w:kern w:val="0"/>
          <w:sz w:val="22"/>
          <w:szCs w:val="22"/>
          <w14:ligatures w14:val="none"/>
        </w:rPr>
        <w:t>Mahraz</w:t>
      </w:r>
      <w:proofErr w:type="spellEnd"/>
      <w:r w:rsidRPr="005B3300">
        <w:rPr>
          <w:rFonts w:eastAsia="Times New Roman" w:cs="Times New Roman"/>
          <w:kern w:val="0"/>
          <w:sz w:val="22"/>
          <w:szCs w:val="22"/>
          <w14:ligatures w14:val="none"/>
        </w:rPr>
        <w:t xml:space="preserve"> (Fès). Ses travaux portent sur les pratiques langagières, les normes et les inégalités d’accès dans des contextes plurilingues, ainsi que sur les dimensions discursives des dispositifs de formation.</w:t>
      </w:r>
    </w:p>
    <w:p w:rsidR="00FE7FB7" w:rsidRPr="005B3300" w:rsidRDefault="00FE7FB7" w:rsidP="005B3300">
      <w:pPr>
        <w:spacing w:before="100" w:beforeAutospacing="1" w:after="100" w:afterAutospacing="1"/>
        <w:rPr>
          <w:rFonts w:eastAsia="Times New Roman" w:cs="Times New Roman"/>
          <w:kern w:val="0"/>
          <w:sz w:val="22"/>
          <w:szCs w:val="22"/>
          <w14:ligatures w14:val="none"/>
        </w:rPr>
      </w:pPr>
      <w:r w:rsidRPr="005B3300">
        <w:rPr>
          <w:rFonts w:eastAsia="Times New Roman" w:cs="Times New Roman"/>
          <w:b/>
          <w:bCs/>
          <w:kern w:val="0"/>
          <w:sz w:val="22"/>
          <w:szCs w:val="22"/>
          <w14:ligatures w14:val="none"/>
        </w:rPr>
        <w:t>Accessibilité numérique et pouvoir d’agir à l’université : quand la diversité des profils rencontre la diversité des littératies</w:t>
      </w:r>
    </w:p>
    <w:p w:rsidR="00FE7FB7" w:rsidRPr="005B3300" w:rsidRDefault="00FE7FB7" w:rsidP="005B3300">
      <w:pPr>
        <w:spacing w:before="100" w:beforeAutospacing="1" w:after="100" w:afterAutospacing="1"/>
        <w:ind w:firstLine="454"/>
        <w:rPr>
          <w:rFonts w:eastAsia="Times New Roman" w:cs="Times New Roman"/>
          <w:kern w:val="0"/>
          <w:sz w:val="22"/>
          <w:szCs w:val="22"/>
          <w14:ligatures w14:val="none"/>
        </w:rPr>
      </w:pPr>
      <w:r w:rsidRPr="005B3300">
        <w:rPr>
          <w:rFonts w:eastAsia="Times New Roman" w:cs="Times New Roman"/>
          <w:kern w:val="0"/>
          <w:sz w:val="22"/>
          <w:szCs w:val="22"/>
          <w14:ligatures w14:val="none"/>
        </w:rPr>
        <w:t xml:space="preserve">Dans l’enseignement supérieur, la numérisation des formations (plateformes pédagogiques, hybridation, évaluations en ligne, supports multimodaux, recours croissant à l’IA générative) est souvent présentée comme un levier d’accessibilité. Pourtant, ces dispositifs peuvent aussi renforcer des formes d’e-exclusion, particulièrement pour les étudiants présentant des besoins spécifiques (handicap invisible, troubles </w:t>
      </w:r>
      <w:proofErr w:type="spellStart"/>
      <w:r w:rsidRPr="005B3300">
        <w:rPr>
          <w:rFonts w:eastAsia="Times New Roman" w:cs="Times New Roman"/>
          <w:kern w:val="0"/>
          <w:sz w:val="22"/>
          <w:szCs w:val="22"/>
          <w14:ligatures w14:val="none"/>
        </w:rPr>
        <w:t>dys</w:t>
      </w:r>
      <w:proofErr w:type="spellEnd"/>
      <w:r w:rsidRPr="005B3300">
        <w:rPr>
          <w:rFonts w:eastAsia="Times New Roman" w:cs="Times New Roman"/>
          <w:kern w:val="0"/>
          <w:sz w:val="22"/>
          <w:szCs w:val="22"/>
          <w14:ligatures w14:val="none"/>
        </w:rPr>
        <w:t>-, fatigabilité, difficultés d’attention) et/ou situés dans des parcours marqués par l’</w:t>
      </w:r>
      <w:proofErr w:type="spellStart"/>
      <w:r w:rsidRPr="005B3300">
        <w:rPr>
          <w:rFonts w:eastAsia="Times New Roman" w:cs="Times New Roman"/>
          <w:kern w:val="0"/>
          <w:sz w:val="22"/>
          <w:szCs w:val="22"/>
          <w14:ligatures w14:val="none"/>
        </w:rPr>
        <w:t>allophonie</w:t>
      </w:r>
      <w:proofErr w:type="spellEnd"/>
      <w:r w:rsidRPr="005B3300">
        <w:rPr>
          <w:rFonts w:eastAsia="Times New Roman" w:cs="Times New Roman"/>
          <w:kern w:val="0"/>
          <w:sz w:val="22"/>
          <w:szCs w:val="22"/>
          <w14:ligatures w14:val="none"/>
        </w:rPr>
        <w:t xml:space="preserve"> et des littératies universitaires inégalement distribuées.</w:t>
      </w:r>
      <w:r w:rsidRPr="005B3300">
        <w:rPr>
          <w:rFonts w:eastAsia="Times New Roman" w:cs="Times New Roman"/>
          <w:kern w:val="0"/>
          <w:sz w:val="22"/>
          <w:szCs w:val="22"/>
          <w14:ligatures w14:val="none"/>
        </w:rPr>
        <w:br/>
      </w:r>
      <w:r w:rsidRPr="005B3300">
        <w:rPr>
          <w:rFonts w:eastAsia="Times New Roman" w:cs="Times New Roman"/>
          <w:kern w:val="0"/>
          <w:sz w:val="22"/>
          <w:szCs w:val="22"/>
          <w14:ligatures w14:val="none"/>
        </w:rPr>
        <w:lastRenderedPageBreak/>
        <w:t>Cette communication interroge la manière dont l’environnement numérique universitaire devient ou non un environnement capacitant, au sens où il ouvre un champ de possibles pour le pouvoir d’agir (Zimmermann) et soutient l’autodétermination (Wehmeyer). Nous proposons d’analyser l’accessibilité non seulement comme conformité technique, mais comme expérience située : comprendre une consigne, accéder aux ressources, interagir sans surcharge cognitive, se rendre visible sans s’exposer, demander un aménagement, choisir des stratégies (dont l’usage de l’IA) sans se mettre en risque.</w:t>
      </w:r>
      <w:r w:rsidRPr="005B3300">
        <w:rPr>
          <w:rFonts w:eastAsia="Times New Roman" w:cs="Times New Roman"/>
          <w:kern w:val="0"/>
          <w:sz w:val="22"/>
          <w:szCs w:val="22"/>
          <w14:ligatures w14:val="none"/>
        </w:rPr>
        <w:br/>
        <w:t>Le corpus articule (1) une analyse de supports et consignes pédagogiques (syllabus, annonces de cours, modalités d’évaluation, documents PDF) issus de formations universitaires, et (2) des récits d’expérience recueillis auprès d’étudiants (et, si possible, d’enseignants/personnels) portant sur les obstacles et facilitateurs rencontrés dans les parcours. L’étude mettra en évidence des “points de friction” récurrents (implicites, formats, temporalités, évaluations, accessibilité des documents, surcharge informationnelle) ainsi que des pratiques simples de conception universelle de l’apprentissage susceptibles de renforcer l’agentivité (clarté discursive, multimodalité accessible, choix d’options, feedback, co-construction).</w:t>
      </w:r>
      <w:r w:rsidRPr="005B3300">
        <w:rPr>
          <w:rFonts w:eastAsia="Times New Roman" w:cs="Times New Roman"/>
          <w:kern w:val="0"/>
          <w:sz w:val="22"/>
          <w:szCs w:val="22"/>
          <w14:ligatures w14:val="none"/>
        </w:rPr>
        <w:br/>
        <w:t>En articulant numérique, accessibilité et autodétermination, la communication vise à proposer des repères transférables pour des études supérieures réellement inclusives, attentives à la diversité des profils et des manières d’apprendre.</w:t>
      </w:r>
    </w:p>
    <w:p w:rsidR="005B3300" w:rsidRPr="00D87721" w:rsidRDefault="005B3300" w:rsidP="005B3300">
      <w:pPr>
        <w:spacing w:line="276" w:lineRule="auto"/>
        <w:jc w:val="center"/>
        <w:rPr>
          <w:rFonts w:ascii="Verdana" w:hAnsi="Verdana"/>
          <w:sz w:val="16"/>
          <w:szCs w:val="16"/>
        </w:rPr>
      </w:pPr>
    </w:p>
    <w:p w:rsidR="009D73B4" w:rsidRDefault="009D73B4" w:rsidP="009D73B4">
      <w:pPr>
        <w:pBdr>
          <w:top w:val="single" w:sz="4" w:space="1" w:color="auto"/>
          <w:left w:val="single" w:sz="4" w:space="4" w:color="auto"/>
          <w:bottom w:val="single" w:sz="4" w:space="1" w:color="auto"/>
          <w:right w:val="single" w:sz="4" w:space="4" w:color="auto"/>
        </w:pBdr>
        <w:rPr>
          <w:b/>
          <w:bCs/>
          <w:color w:val="0070C0"/>
        </w:rPr>
      </w:pPr>
      <w:r w:rsidRPr="005B3300">
        <w:rPr>
          <w:b/>
          <w:bCs/>
          <w:color w:val="0070C0"/>
        </w:rPr>
        <w:t>Antonella Ferrara</w:t>
      </w:r>
      <w:r w:rsidRPr="005B3300">
        <w:rPr>
          <w:b/>
          <w:bCs/>
          <w:color w:val="0070C0"/>
        </w:rPr>
        <w:t xml:space="preserve"> </w:t>
      </w:r>
    </w:p>
    <w:p w:rsidR="005B3300" w:rsidRPr="009D73B4" w:rsidRDefault="005B3300" w:rsidP="009D73B4">
      <w:pPr>
        <w:pBdr>
          <w:top w:val="single" w:sz="4" w:space="1" w:color="auto"/>
          <w:left w:val="single" w:sz="4" w:space="4" w:color="auto"/>
          <w:bottom w:val="single" w:sz="4" w:space="1" w:color="auto"/>
          <w:right w:val="single" w:sz="4" w:space="4" w:color="auto"/>
        </w:pBdr>
        <w:rPr>
          <w:color w:val="0070C0"/>
        </w:rPr>
      </w:pPr>
      <w:r w:rsidRPr="009D73B4">
        <w:rPr>
          <w:color w:val="0070C0"/>
        </w:rPr>
        <w:t>Former à l’inclusion par l’immersion : apports et limites de la réalité virtuelle immersive pour transformer les pratiques pédagogiques à l’université</w:t>
      </w:r>
    </w:p>
    <w:p w:rsidR="005B3300" w:rsidRPr="00EC0D2E" w:rsidRDefault="005B3300" w:rsidP="005B3300">
      <w:pPr>
        <w:spacing w:line="276" w:lineRule="auto"/>
        <w:rPr>
          <w:rFonts w:ascii="Verdana" w:hAnsi="Verdana"/>
        </w:rPr>
      </w:pPr>
    </w:p>
    <w:p w:rsidR="005B3300" w:rsidRPr="005B3300" w:rsidRDefault="005B3300" w:rsidP="005B3300">
      <w:pPr>
        <w:spacing w:line="276" w:lineRule="auto"/>
        <w:rPr>
          <w:sz w:val="22"/>
          <w:szCs w:val="22"/>
        </w:rPr>
      </w:pPr>
      <w:r w:rsidRPr="005B3300">
        <w:rPr>
          <w:b/>
          <w:bCs/>
          <w:sz w:val="22"/>
          <w:szCs w:val="22"/>
        </w:rPr>
        <w:t>Antonella F</w:t>
      </w:r>
      <w:r>
        <w:rPr>
          <w:b/>
          <w:bCs/>
          <w:sz w:val="22"/>
          <w:szCs w:val="22"/>
        </w:rPr>
        <w:t>ERRARA</w:t>
      </w:r>
      <w:r w:rsidRPr="005B3300">
        <w:rPr>
          <w:sz w:val="22"/>
          <w:szCs w:val="22"/>
        </w:rPr>
        <w:t xml:space="preserve"> est chercheuse post-Doc en neurosciences cognitives pour le projet INCLUDE in collaboration avec le Centre de Recherche en Neurosciences de Lyon (CNRL/INSERM), et toutes les universités partenaires du projet, piloté par l’Université Claude Bernard Lyon 1. Ses travaux portent sur l’éducation inclusive dans l’enseignement supérieur, les troubles cognitifs des apprentissages et l’usage des technologies immersives comme outils de formation et de transformation des pratiques pédagogiques.</w:t>
      </w:r>
    </w:p>
    <w:p w:rsidR="005B3300" w:rsidRDefault="005B3300" w:rsidP="005B3300">
      <w:pPr>
        <w:spacing w:line="276" w:lineRule="auto"/>
        <w:rPr>
          <w:sz w:val="22"/>
          <w:szCs w:val="22"/>
        </w:rPr>
      </w:pPr>
    </w:p>
    <w:p w:rsidR="005B3300" w:rsidRPr="005B3300" w:rsidRDefault="005B3300" w:rsidP="005B3300">
      <w:pPr>
        <w:spacing w:line="276" w:lineRule="auto"/>
        <w:rPr>
          <w:b/>
          <w:bCs/>
          <w:color w:val="000000" w:themeColor="text1"/>
          <w:sz w:val="22"/>
          <w:szCs w:val="22"/>
        </w:rPr>
      </w:pPr>
      <w:r w:rsidRPr="005B3300">
        <w:rPr>
          <w:b/>
          <w:bCs/>
          <w:color w:val="000000" w:themeColor="text1"/>
          <w:sz w:val="22"/>
          <w:szCs w:val="22"/>
        </w:rPr>
        <w:t>Former à l’inclusion par l’immersion : apports et limites de la réalité virtuelle immersive pour transformer les pratiques pédagogiques à l’université</w:t>
      </w:r>
    </w:p>
    <w:p w:rsidR="005B3300" w:rsidRPr="005B3300" w:rsidRDefault="005B3300" w:rsidP="005B3300">
      <w:pPr>
        <w:spacing w:line="276" w:lineRule="auto"/>
        <w:rPr>
          <w:sz w:val="22"/>
          <w:szCs w:val="22"/>
        </w:rPr>
      </w:pPr>
    </w:p>
    <w:p w:rsidR="005B3300" w:rsidRPr="005B3300" w:rsidRDefault="005B3300" w:rsidP="005B3300">
      <w:pPr>
        <w:spacing w:line="276" w:lineRule="auto"/>
        <w:rPr>
          <w:sz w:val="22"/>
          <w:szCs w:val="22"/>
        </w:rPr>
      </w:pPr>
      <w:r w:rsidRPr="005B3300">
        <w:rPr>
          <w:sz w:val="22"/>
          <w:szCs w:val="22"/>
        </w:rPr>
        <w:t>Malgré un cadre législatif affirmant le droit à une université pleinement accessible, les pratiques pédagogiques inclusives demeurent inégalement intégrées dans l’enseignement supérieur. Les enseignants-chercheurs déclarent fréquemment un manque de formation concernant les troubles spécifiques des apprentissages, contribuant au maintien d’inégalités de parcours et à un risque accru de décrochage chez les étudiants concernés. Le numérique est régulièrement présenté comme un levier d’inclusion, sans que ses effets réels sur les pratiques professionnelles ne soient systématiquement évalués.</w:t>
      </w:r>
    </w:p>
    <w:p w:rsidR="005B3300" w:rsidRPr="005B3300" w:rsidRDefault="005B3300" w:rsidP="005B3300">
      <w:pPr>
        <w:spacing w:line="276" w:lineRule="auto"/>
        <w:rPr>
          <w:sz w:val="22"/>
          <w:szCs w:val="22"/>
        </w:rPr>
      </w:pPr>
      <w:r w:rsidRPr="005B3300">
        <w:rPr>
          <w:sz w:val="22"/>
          <w:szCs w:val="22"/>
        </w:rPr>
        <w:t>Notre projet présente un dispositif de formation innovant combinant formation en ligne et réalité virtuelle immersive, développé dans le cadre du projet national INCLUDE, France 2030. L’objectif est d’analyser dans quelle mesure l’immersion dans des situations pédagogiques simulant des troubles des apprentissages vécus par les étudiants peut favoriser l’évolution des représentations, des connaissances et des pratiques pédagogiques des enseignants-chercheurs.</w:t>
      </w:r>
    </w:p>
    <w:p w:rsidR="005B3300" w:rsidRPr="005B3300" w:rsidRDefault="005B3300" w:rsidP="005B3300">
      <w:pPr>
        <w:spacing w:line="276" w:lineRule="auto"/>
        <w:rPr>
          <w:sz w:val="22"/>
          <w:szCs w:val="22"/>
        </w:rPr>
      </w:pPr>
      <w:r w:rsidRPr="005B3300">
        <w:rPr>
          <w:sz w:val="22"/>
          <w:szCs w:val="22"/>
        </w:rPr>
        <w:t>Le projet repose sur des scénarios immersifs plaçant les participants dans la peau d’étudiants confrontés à des situations d’apprentissage problématiques : difficultés de lecture liées au « </w:t>
      </w:r>
      <w:proofErr w:type="spellStart"/>
      <w:r w:rsidRPr="005B3300">
        <w:rPr>
          <w:sz w:val="22"/>
          <w:szCs w:val="22"/>
        </w:rPr>
        <w:t>crowding</w:t>
      </w:r>
      <w:proofErr w:type="spellEnd"/>
      <w:r w:rsidRPr="005B3300">
        <w:rPr>
          <w:sz w:val="22"/>
          <w:szCs w:val="22"/>
        </w:rPr>
        <w:t xml:space="preserve"> </w:t>
      </w:r>
      <w:proofErr w:type="spellStart"/>
      <w:r w:rsidRPr="005B3300">
        <w:rPr>
          <w:sz w:val="22"/>
          <w:szCs w:val="22"/>
        </w:rPr>
        <w:t>effect</w:t>
      </w:r>
      <w:proofErr w:type="spellEnd"/>
      <w:r w:rsidRPr="005B3300">
        <w:rPr>
          <w:sz w:val="22"/>
          <w:szCs w:val="22"/>
        </w:rPr>
        <w:t> », troubles de l’écriture et de la coordination affectant les tâches visuomotrices, surcharge cognitive et expériences de sentiments d’impuissance apprise. Chaque scénario existe en version défi et en version inclusive illustrant des adaptations pédagogiques concrètes.</w:t>
      </w:r>
    </w:p>
    <w:p w:rsidR="005B3300" w:rsidRPr="005B3300" w:rsidRDefault="005B3300" w:rsidP="005B3300">
      <w:pPr>
        <w:spacing w:line="276" w:lineRule="auto"/>
        <w:rPr>
          <w:sz w:val="22"/>
          <w:szCs w:val="22"/>
        </w:rPr>
      </w:pPr>
      <w:r w:rsidRPr="005B3300">
        <w:rPr>
          <w:sz w:val="22"/>
          <w:szCs w:val="22"/>
        </w:rPr>
        <w:lastRenderedPageBreak/>
        <w:t>Le protocole de recherche adopte un design longitudinal impliquant quatre-vingt-dix enseignants-chercheurs répartis en trois groupes : formation en ligne associée à la réalité virtuelle immersive, formation en ligne seule, et groupe contrôle sans formation. Les effets du dispositif sont évalués avant l’intervention et six mois après, à partir de questionnaires portant sur les pratiques pédagogiques inclusives, la connaissance des troubles des apprentissages et l’empathie professionnelle.</w:t>
      </w:r>
    </w:p>
    <w:p w:rsidR="005B3300" w:rsidRPr="005B3300" w:rsidRDefault="005B3300" w:rsidP="005B3300">
      <w:pPr>
        <w:spacing w:line="276" w:lineRule="auto"/>
        <w:rPr>
          <w:sz w:val="22"/>
          <w:szCs w:val="22"/>
        </w:rPr>
      </w:pPr>
      <w:r w:rsidRPr="005B3300">
        <w:rPr>
          <w:sz w:val="22"/>
          <w:szCs w:val="22"/>
        </w:rPr>
        <w:t>Les premières données issues d’une phase pilote indiquent que les scénarios défis augmentent transitoirement le stress perçu et diminuent l’estime de soi, tandis que les scénarios inclusifs soutiennent la régulation émotionnelle et la compréhension des aménagements pédagogiques proposés universitaires.</w:t>
      </w:r>
    </w:p>
    <w:p w:rsidR="00EB4702" w:rsidRDefault="00EB4702" w:rsidP="005B3300">
      <w:pPr>
        <w:spacing w:line="276" w:lineRule="auto"/>
      </w:pPr>
      <w:r w:rsidRPr="00EB4702">
        <w:t xml:space="preserve"> </w:t>
      </w:r>
    </w:p>
    <w:p w:rsidR="00EB4702" w:rsidRDefault="00EB4702" w:rsidP="005B3300">
      <w:pPr>
        <w:spacing w:line="276" w:lineRule="auto"/>
      </w:pPr>
    </w:p>
    <w:p w:rsidR="005B3300" w:rsidRDefault="00EB4702" w:rsidP="00EB4702">
      <w:pPr>
        <w:pBdr>
          <w:top w:val="single" w:sz="4" w:space="1" w:color="auto"/>
          <w:left w:val="single" w:sz="4" w:space="4" w:color="auto"/>
          <w:bottom w:val="single" w:sz="4" w:space="1" w:color="auto"/>
          <w:right w:val="single" w:sz="4" w:space="4" w:color="auto"/>
        </w:pBdr>
        <w:spacing w:line="276" w:lineRule="auto"/>
        <w:rPr>
          <w:b/>
          <w:bCs/>
          <w:color w:val="0070C0"/>
        </w:rPr>
      </w:pPr>
      <w:r w:rsidRPr="00EB4702">
        <w:rPr>
          <w:b/>
          <w:bCs/>
          <w:color w:val="0070C0"/>
        </w:rPr>
        <w:t>Claire Goulet</w:t>
      </w:r>
    </w:p>
    <w:p w:rsidR="00EB4702" w:rsidRPr="00EB4702" w:rsidRDefault="00EB4702" w:rsidP="00EB4702">
      <w:pPr>
        <w:pBdr>
          <w:top w:val="single" w:sz="4" w:space="1" w:color="auto"/>
          <w:left w:val="single" w:sz="4" w:space="4" w:color="auto"/>
          <w:bottom w:val="single" w:sz="4" w:space="1" w:color="auto"/>
          <w:right w:val="single" w:sz="4" w:space="4" w:color="auto"/>
        </w:pBdr>
        <w:spacing w:line="276" w:lineRule="auto"/>
        <w:rPr>
          <w:color w:val="0070C0"/>
        </w:rPr>
      </w:pPr>
      <w:r w:rsidRPr="00EB4702">
        <w:rPr>
          <w:color w:val="0070C0"/>
        </w:rPr>
        <w:t>Pratiques de formation fondées sur la CUA en Master MEEF : place du numérique et de l’autodétermination des étudiants.</w:t>
      </w:r>
    </w:p>
    <w:p w:rsidR="00EB4702" w:rsidRDefault="00EB4702" w:rsidP="005B3300">
      <w:pPr>
        <w:spacing w:line="276" w:lineRule="auto"/>
        <w:rPr>
          <w:b/>
          <w:bCs/>
          <w:color w:val="0070C0"/>
        </w:rPr>
      </w:pPr>
    </w:p>
    <w:p w:rsidR="00EB4702" w:rsidRPr="00EB4702" w:rsidRDefault="00EB4702" w:rsidP="005B3300">
      <w:pPr>
        <w:spacing w:line="276" w:lineRule="auto"/>
        <w:rPr>
          <w:color w:val="000000" w:themeColor="text1"/>
          <w:sz w:val="22"/>
          <w:szCs w:val="22"/>
        </w:rPr>
      </w:pPr>
      <w:r w:rsidRPr="00EB4702">
        <w:rPr>
          <w:b/>
          <w:bCs/>
          <w:color w:val="000000" w:themeColor="text1"/>
          <w:sz w:val="22"/>
          <w:szCs w:val="22"/>
        </w:rPr>
        <w:t>Claire GOULET</w:t>
      </w:r>
      <w:r>
        <w:rPr>
          <w:b/>
          <w:bCs/>
          <w:color w:val="000000" w:themeColor="text1"/>
          <w:sz w:val="22"/>
          <w:szCs w:val="22"/>
        </w:rPr>
        <w:t xml:space="preserve"> </w:t>
      </w:r>
      <w:r w:rsidRPr="00EB4702">
        <w:rPr>
          <w:color w:val="000000" w:themeColor="text1"/>
          <w:sz w:val="22"/>
          <w:szCs w:val="22"/>
        </w:rPr>
        <w:t xml:space="preserve">est </w:t>
      </w:r>
      <w:r w:rsidRPr="00EB4702">
        <w:rPr>
          <w:color w:val="000000" w:themeColor="text1"/>
          <w:sz w:val="22"/>
          <w:szCs w:val="22"/>
        </w:rPr>
        <w:t>chercheuse associée au LISEC équipe AP2E. Récemment</w:t>
      </w:r>
      <w:r w:rsidRPr="00EB4702">
        <w:rPr>
          <w:color w:val="000000" w:themeColor="text1"/>
          <w:sz w:val="22"/>
          <w:szCs w:val="22"/>
        </w:rPr>
        <w:t xml:space="preserve"> </w:t>
      </w:r>
      <w:r w:rsidRPr="00EB4702">
        <w:rPr>
          <w:color w:val="000000" w:themeColor="text1"/>
          <w:sz w:val="22"/>
          <w:szCs w:val="22"/>
        </w:rPr>
        <w:t>retraitée de ses fonctions d’enseignante chercheuse et de responsable de formations</w:t>
      </w:r>
      <w:r w:rsidRPr="00EB4702">
        <w:rPr>
          <w:color w:val="000000" w:themeColor="text1"/>
          <w:sz w:val="22"/>
          <w:szCs w:val="22"/>
        </w:rPr>
        <w:t xml:space="preserve"> </w:t>
      </w:r>
      <w:r w:rsidRPr="00EB4702">
        <w:rPr>
          <w:color w:val="000000" w:themeColor="text1"/>
          <w:sz w:val="22"/>
          <w:szCs w:val="22"/>
        </w:rPr>
        <w:t>inclusives (CAPPEI, puis MASTER EIPS) à l’INSPE de Strasbourg, elle continue ses</w:t>
      </w:r>
      <w:r w:rsidRPr="00EB4702">
        <w:rPr>
          <w:color w:val="000000" w:themeColor="text1"/>
          <w:sz w:val="22"/>
          <w:szCs w:val="22"/>
        </w:rPr>
        <w:t xml:space="preserve"> </w:t>
      </w:r>
      <w:r w:rsidRPr="00EB4702">
        <w:rPr>
          <w:color w:val="000000" w:themeColor="text1"/>
          <w:sz w:val="22"/>
          <w:szCs w:val="22"/>
        </w:rPr>
        <w:t>activités de recherche et de formation sur les questions d’inclusion scolaire, notamment</w:t>
      </w:r>
      <w:r w:rsidRPr="00EB4702">
        <w:rPr>
          <w:color w:val="000000" w:themeColor="text1"/>
          <w:sz w:val="22"/>
          <w:szCs w:val="22"/>
        </w:rPr>
        <w:t xml:space="preserve"> </w:t>
      </w:r>
      <w:r w:rsidRPr="00EB4702">
        <w:rPr>
          <w:color w:val="000000" w:themeColor="text1"/>
          <w:sz w:val="22"/>
          <w:szCs w:val="22"/>
        </w:rPr>
        <w:t>concernant les applications de la CUA pour</w:t>
      </w:r>
      <w:r>
        <w:rPr>
          <w:color w:val="000000" w:themeColor="text1"/>
          <w:sz w:val="22"/>
          <w:szCs w:val="22"/>
        </w:rPr>
        <w:t xml:space="preserve"> </w:t>
      </w:r>
      <w:r w:rsidRPr="00EB4702">
        <w:rPr>
          <w:color w:val="000000" w:themeColor="text1"/>
          <w:sz w:val="22"/>
          <w:szCs w:val="22"/>
        </w:rPr>
        <w:t>l’enseignement et la formation. Enseignante</w:t>
      </w:r>
      <w:r w:rsidRPr="00EB4702">
        <w:rPr>
          <w:color w:val="000000" w:themeColor="text1"/>
          <w:sz w:val="22"/>
          <w:szCs w:val="22"/>
        </w:rPr>
        <w:t xml:space="preserve"> </w:t>
      </w:r>
      <w:r w:rsidRPr="00EB4702">
        <w:rPr>
          <w:color w:val="000000" w:themeColor="text1"/>
          <w:sz w:val="22"/>
          <w:szCs w:val="22"/>
        </w:rPr>
        <w:t>spécialisée et maître formatrice, elle a également assuré la formation continue des</w:t>
      </w:r>
      <w:r w:rsidRPr="00EB4702">
        <w:rPr>
          <w:color w:val="000000" w:themeColor="text1"/>
          <w:sz w:val="22"/>
          <w:szCs w:val="22"/>
        </w:rPr>
        <w:t xml:space="preserve"> </w:t>
      </w:r>
      <w:r w:rsidRPr="00EB4702">
        <w:rPr>
          <w:color w:val="000000" w:themeColor="text1"/>
          <w:sz w:val="22"/>
          <w:szCs w:val="22"/>
        </w:rPr>
        <w:t>enseignants du milieu ordinaire et spécialisé, dans le domaine</w:t>
      </w:r>
      <w:r w:rsidRPr="00EB4702">
        <w:t xml:space="preserve"> </w:t>
      </w:r>
      <w:r w:rsidRPr="00EB4702">
        <w:rPr>
          <w:color w:val="000000" w:themeColor="text1"/>
          <w:sz w:val="22"/>
          <w:szCs w:val="22"/>
        </w:rPr>
        <w:t>des TND et du handicap,</w:t>
      </w:r>
      <w:r>
        <w:rPr>
          <w:color w:val="000000" w:themeColor="text1"/>
          <w:sz w:val="22"/>
          <w:szCs w:val="22"/>
        </w:rPr>
        <w:t xml:space="preserve"> </w:t>
      </w:r>
      <w:r w:rsidRPr="00EB4702">
        <w:rPr>
          <w:color w:val="000000" w:themeColor="text1"/>
          <w:sz w:val="22"/>
          <w:szCs w:val="22"/>
        </w:rPr>
        <w:t>dans l’académie de Strasbourg.</w:t>
      </w:r>
    </w:p>
    <w:p w:rsidR="00EB4702" w:rsidRDefault="00EB4702" w:rsidP="005B3300">
      <w:pPr>
        <w:spacing w:line="276" w:lineRule="auto"/>
        <w:rPr>
          <w:b/>
          <w:bCs/>
          <w:color w:val="000000" w:themeColor="text1"/>
          <w:sz w:val="22"/>
          <w:szCs w:val="22"/>
        </w:rPr>
      </w:pPr>
    </w:p>
    <w:p w:rsidR="00EB4702" w:rsidRDefault="00EB4702" w:rsidP="00EB4702">
      <w:pPr>
        <w:spacing w:line="276" w:lineRule="auto"/>
        <w:rPr>
          <w:b/>
          <w:bCs/>
          <w:color w:val="000000" w:themeColor="text1"/>
          <w:sz w:val="22"/>
          <w:szCs w:val="22"/>
        </w:rPr>
      </w:pPr>
      <w:r w:rsidRPr="00EB4702">
        <w:rPr>
          <w:b/>
          <w:bCs/>
          <w:color w:val="000000" w:themeColor="text1"/>
          <w:sz w:val="22"/>
          <w:szCs w:val="22"/>
        </w:rPr>
        <w:t>Pratiques de formation fondées sur la CUA en Master MEEF : place du</w:t>
      </w:r>
      <w:r>
        <w:rPr>
          <w:b/>
          <w:bCs/>
          <w:color w:val="000000" w:themeColor="text1"/>
          <w:sz w:val="22"/>
          <w:szCs w:val="22"/>
        </w:rPr>
        <w:t xml:space="preserve"> </w:t>
      </w:r>
      <w:r w:rsidRPr="00EB4702">
        <w:rPr>
          <w:b/>
          <w:bCs/>
          <w:color w:val="000000" w:themeColor="text1"/>
          <w:sz w:val="22"/>
          <w:szCs w:val="22"/>
        </w:rPr>
        <w:t>numérique et de l’autodétermination des étudiants.</w:t>
      </w:r>
    </w:p>
    <w:p w:rsidR="00EB4702" w:rsidRPr="00EB4702" w:rsidRDefault="00EB4702" w:rsidP="00EB4702">
      <w:pPr>
        <w:spacing w:line="276" w:lineRule="auto"/>
        <w:rPr>
          <w:b/>
          <w:bCs/>
          <w:color w:val="000000" w:themeColor="text1"/>
          <w:sz w:val="22"/>
          <w:szCs w:val="22"/>
        </w:rPr>
      </w:pPr>
    </w:p>
    <w:p w:rsidR="00EB4702" w:rsidRPr="00EB4702" w:rsidRDefault="00EB4702" w:rsidP="00EB4702">
      <w:pPr>
        <w:spacing w:line="276" w:lineRule="auto"/>
        <w:rPr>
          <w:color w:val="000000" w:themeColor="text1"/>
          <w:sz w:val="22"/>
          <w:szCs w:val="22"/>
        </w:rPr>
      </w:pPr>
      <w:r w:rsidRPr="00EB4702">
        <w:rPr>
          <w:color w:val="000000" w:themeColor="text1"/>
          <w:sz w:val="22"/>
          <w:szCs w:val="22"/>
        </w:rPr>
        <w:t>La communication se propose de présenter des pratiques de formation universitaires</w:t>
      </w:r>
      <w:r w:rsidRPr="00EB4702">
        <w:rPr>
          <w:color w:val="000000" w:themeColor="text1"/>
          <w:sz w:val="22"/>
          <w:szCs w:val="22"/>
        </w:rPr>
        <w:t xml:space="preserve"> </w:t>
      </w:r>
      <w:r w:rsidRPr="00EB4702">
        <w:rPr>
          <w:color w:val="000000" w:themeColor="text1"/>
          <w:sz w:val="22"/>
          <w:szCs w:val="22"/>
        </w:rPr>
        <w:t>développées dans le cadre d’un « Groupe de travail accessibilité » qui a réuni une dizaine</w:t>
      </w:r>
      <w:r w:rsidRPr="00EB4702">
        <w:rPr>
          <w:color w:val="000000" w:themeColor="text1"/>
          <w:sz w:val="22"/>
          <w:szCs w:val="22"/>
        </w:rPr>
        <w:t xml:space="preserve"> </w:t>
      </w:r>
      <w:r w:rsidRPr="00EB4702">
        <w:rPr>
          <w:color w:val="000000" w:themeColor="text1"/>
          <w:sz w:val="22"/>
          <w:szCs w:val="22"/>
        </w:rPr>
        <w:t>d’enseignantes de l’université de Strasbourg de 2023 à 2025. Le groupe de travail a fait</w:t>
      </w:r>
      <w:r w:rsidRPr="00EB4702">
        <w:rPr>
          <w:color w:val="000000" w:themeColor="text1"/>
          <w:sz w:val="22"/>
          <w:szCs w:val="22"/>
        </w:rPr>
        <w:t xml:space="preserve"> </w:t>
      </w:r>
      <w:r w:rsidRPr="00EB4702">
        <w:rPr>
          <w:color w:val="000000" w:themeColor="text1"/>
          <w:sz w:val="22"/>
          <w:szCs w:val="22"/>
        </w:rPr>
        <w:t>l’objet d’un projet d’innovation pédagogique, validé par la Commission des Enseignements et</w:t>
      </w:r>
      <w:r w:rsidRPr="00EB4702">
        <w:rPr>
          <w:color w:val="000000" w:themeColor="text1"/>
          <w:sz w:val="22"/>
          <w:szCs w:val="22"/>
        </w:rPr>
        <w:t xml:space="preserve"> </w:t>
      </w:r>
      <w:r w:rsidRPr="00EB4702">
        <w:rPr>
          <w:color w:val="000000" w:themeColor="text1"/>
          <w:sz w:val="22"/>
          <w:szCs w:val="22"/>
        </w:rPr>
        <w:t>de l’Innovation pédagogique de l’INSPE de Strasbourg. Ses productions et travaux ont été</w:t>
      </w:r>
      <w:r w:rsidRPr="00EB4702">
        <w:rPr>
          <w:color w:val="000000" w:themeColor="text1"/>
          <w:sz w:val="22"/>
          <w:szCs w:val="22"/>
        </w:rPr>
        <w:t xml:space="preserve"> </w:t>
      </w:r>
      <w:r w:rsidRPr="00EB4702">
        <w:rPr>
          <w:color w:val="000000" w:themeColor="text1"/>
          <w:sz w:val="22"/>
          <w:szCs w:val="22"/>
        </w:rPr>
        <w:t>exposés lors d’une F2F en juin 2025 et ont donné lieu à deux articles parus dans la revue</w:t>
      </w:r>
    </w:p>
    <w:p w:rsidR="00EB4702" w:rsidRPr="00EB4702" w:rsidRDefault="00EB4702" w:rsidP="00EB4702">
      <w:pPr>
        <w:spacing w:line="276" w:lineRule="auto"/>
        <w:rPr>
          <w:color w:val="000000" w:themeColor="text1"/>
          <w:sz w:val="22"/>
          <w:szCs w:val="22"/>
        </w:rPr>
      </w:pPr>
      <w:r w:rsidRPr="00EB4702">
        <w:rPr>
          <w:color w:val="000000" w:themeColor="text1"/>
          <w:sz w:val="22"/>
          <w:szCs w:val="22"/>
        </w:rPr>
        <w:t xml:space="preserve">Recherches (Goulet et al., 2025 ; </w:t>
      </w:r>
      <w:proofErr w:type="spellStart"/>
      <w:r w:rsidRPr="00EB4702">
        <w:rPr>
          <w:color w:val="000000" w:themeColor="text1"/>
          <w:sz w:val="22"/>
          <w:szCs w:val="22"/>
        </w:rPr>
        <w:t>Behague</w:t>
      </w:r>
      <w:proofErr w:type="spellEnd"/>
      <w:r w:rsidRPr="00EB4702">
        <w:rPr>
          <w:color w:val="000000" w:themeColor="text1"/>
          <w:sz w:val="22"/>
          <w:szCs w:val="22"/>
        </w:rPr>
        <w:t>, 2025). Le cadre négocié du groupe de travail</w:t>
      </w:r>
      <w:r w:rsidRPr="00EB4702">
        <w:rPr>
          <w:color w:val="000000" w:themeColor="text1"/>
          <w:sz w:val="22"/>
          <w:szCs w:val="22"/>
        </w:rPr>
        <w:t xml:space="preserve"> </w:t>
      </w:r>
      <w:r w:rsidRPr="00EB4702">
        <w:rPr>
          <w:color w:val="000000" w:themeColor="text1"/>
          <w:sz w:val="22"/>
          <w:szCs w:val="22"/>
        </w:rPr>
        <w:t>étant celui d’une construction de ressources à but de diffusion professionnelle, les pratiques</w:t>
      </w:r>
      <w:r w:rsidRPr="00EB4702">
        <w:rPr>
          <w:color w:val="000000" w:themeColor="text1"/>
          <w:sz w:val="22"/>
          <w:szCs w:val="22"/>
        </w:rPr>
        <w:t xml:space="preserve"> </w:t>
      </w:r>
      <w:r w:rsidRPr="00EB4702">
        <w:rPr>
          <w:color w:val="000000" w:themeColor="text1"/>
          <w:sz w:val="22"/>
          <w:szCs w:val="22"/>
        </w:rPr>
        <w:t>ont fait l’objet d’analyses réflexives fondées sur des observations réalisées durant les</w:t>
      </w:r>
      <w:r w:rsidRPr="00EB4702">
        <w:rPr>
          <w:color w:val="000000" w:themeColor="text1"/>
          <w:sz w:val="22"/>
          <w:szCs w:val="22"/>
        </w:rPr>
        <w:t xml:space="preserve"> </w:t>
      </w:r>
      <w:r w:rsidRPr="00EB4702">
        <w:rPr>
          <w:color w:val="000000" w:themeColor="text1"/>
          <w:sz w:val="22"/>
          <w:szCs w:val="22"/>
        </w:rPr>
        <w:t>formations, sans que des études scientifiques aient été réalisées pour évaluer leurs effets au</w:t>
      </w:r>
      <w:r w:rsidRPr="00EB4702">
        <w:rPr>
          <w:color w:val="000000" w:themeColor="text1"/>
          <w:sz w:val="22"/>
          <w:szCs w:val="22"/>
        </w:rPr>
        <w:t xml:space="preserve"> </w:t>
      </w:r>
      <w:r w:rsidRPr="00EB4702">
        <w:rPr>
          <w:color w:val="000000" w:themeColor="text1"/>
          <w:sz w:val="22"/>
          <w:szCs w:val="22"/>
        </w:rPr>
        <w:t>bénéfice des étudiants. Du point de vue théorique, les travaux et réflexions du groupe se</w:t>
      </w:r>
      <w:r w:rsidRPr="00EB4702">
        <w:rPr>
          <w:color w:val="000000" w:themeColor="text1"/>
          <w:sz w:val="22"/>
          <w:szCs w:val="22"/>
        </w:rPr>
        <w:t xml:space="preserve"> </w:t>
      </w:r>
      <w:r w:rsidRPr="00EB4702">
        <w:rPr>
          <w:color w:val="000000" w:themeColor="text1"/>
          <w:sz w:val="22"/>
          <w:szCs w:val="22"/>
        </w:rPr>
        <w:t xml:space="preserve">sont principalement appuyés sur la conception </w:t>
      </w:r>
      <w:proofErr w:type="gramStart"/>
      <w:r w:rsidRPr="00EB4702">
        <w:rPr>
          <w:color w:val="000000" w:themeColor="text1"/>
          <w:sz w:val="22"/>
          <w:szCs w:val="22"/>
        </w:rPr>
        <w:t>universelle</w:t>
      </w:r>
      <w:proofErr w:type="gramEnd"/>
      <w:r w:rsidRPr="00EB4702">
        <w:rPr>
          <w:color w:val="000000" w:themeColor="text1"/>
          <w:sz w:val="22"/>
          <w:szCs w:val="22"/>
        </w:rPr>
        <w:t xml:space="preserve"> des apprentissages (CAST, 2011 ;</w:t>
      </w:r>
      <w:r w:rsidRPr="00EB4702">
        <w:rPr>
          <w:color w:val="000000" w:themeColor="text1"/>
          <w:sz w:val="22"/>
          <w:szCs w:val="22"/>
        </w:rPr>
        <w:t xml:space="preserve"> </w:t>
      </w:r>
      <w:r w:rsidRPr="00EB4702">
        <w:rPr>
          <w:color w:val="000000" w:themeColor="text1"/>
          <w:sz w:val="22"/>
          <w:szCs w:val="22"/>
        </w:rPr>
        <w:t xml:space="preserve">Bergeron et al., 2011 ; </w:t>
      </w:r>
      <w:proofErr w:type="spellStart"/>
      <w:r w:rsidRPr="00EB4702">
        <w:rPr>
          <w:color w:val="000000" w:themeColor="text1"/>
          <w:sz w:val="22"/>
          <w:szCs w:val="22"/>
        </w:rPr>
        <w:t>Kennel</w:t>
      </w:r>
      <w:proofErr w:type="spellEnd"/>
      <w:r w:rsidRPr="00EB4702">
        <w:rPr>
          <w:color w:val="000000" w:themeColor="text1"/>
          <w:sz w:val="22"/>
          <w:szCs w:val="22"/>
        </w:rPr>
        <w:t xml:space="preserve"> et al., 2022) et une méthodologie de transfert des innovations</w:t>
      </w:r>
      <w:r w:rsidRPr="00EB4702">
        <w:rPr>
          <w:color w:val="000000" w:themeColor="text1"/>
          <w:sz w:val="22"/>
          <w:szCs w:val="22"/>
        </w:rPr>
        <w:t xml:space="preserve"> </w:t>
      </w:r>
      <w:r w:rsidRPr="00EB4702">
        <w:rPr>
          <w:color w:val="000000" w:themeColor="text1"/>
          <w:sz w:val="22"/>
          <w:szCs w:val="22"/>
        </w:rPr>
        <w:t>(</w:t>
      </w:r>
      <w:proofErr w:type="spellStart"/>
      <w:r w:rsidRPr="00EB4702">
        <w:rPr>
          <w:color w:val="000000" w:themeColor="text1"/>
          <w:sz w:val="22"/>
          <w:szCs w:val="22"/>
        </w:rPr>
        <w:t>Segard</w:t>
      </w:r>
      <w:proofErr w:type="spellEnd"/>
      <w:r w:rsidRPr="00EB4702">
        <w:rPr>
          <w:color w:val="000000" w:themeColor="text1"/>
          <w:sz w:val="22"/>
          <w:szCs w:val="22"/>
        </w:rPr>
        <w:t>, 2022).</w:t>
      </w:r>
    </w:p>
    <w:p w:rsidR="00EB4702" w:rsidRPr="00EB4702" w:rsidRDefault="00EB4702" w:rsidP="00EB4702">
      <w:pPr>
        <w:spacing w:line="276" w:lineRule="auto"/>
        <w:rPr>
          <w:color w:val="000000" w:themeColor="text1"/>
          <w:sz w:val="22"/>
          <w:szCs w:val="22"/>
        </w:rPr>
      </w:pPr>
      <w:r w:rsidRPr="00EB4702">
        <w:rPr>
          <w:color w:val="000000" w:themeColor="text1"/>
          <w:sz w:val="22"/>
          <w:szCs w:val="22"/>
        </w:rPr>
        <w:t>Les pratiques présentées lors de la communication relèvent d’une visée d’accessibilité</w:t>
      </w:r>
      <w:r w:rsidRPr="00EB4702">
        <w:rPr>
          <w:color w:val="000000" w:themeColor="text1"/>
          <w:sz w:val="22"/>
          <w:szCs w:val="22"/>
        </w:rPr>
        <w:t xml:space="preserve"> </w:t>
      </w:r>
      <w:r w:rsidRPr="00EB4702">
        <w:rPr>
          <w:color w:val="000000" w:themeColor="text1"/>
          <w:sz w:val="22"/>
          <w:szCs w:val="22"/>
        </w:rPr>
        <w:t>universelle au bénéfice des étudiants, mobilisent le numérique éducatif et/ou favorisent</w:t>
      </w:r>
      <w:r w:rsidRPr="00EB4702">
        <w:rPr>
          <w:color w:val="000000" w:themeColor="text1"/>
          <w:sz w:val="22"/>
          <w:szCs w:val="22"/>
        </w:rPr>
        <w:t xml:space="preserve"> </w:t>
      </w:r>
      <w:r w:rsidRPr="00EB4702">
        <w:rPr>
          <w:color w:val="000000" w:themeColor="text1"/>
          <w:sz w:val="22"/>
          <w:szCs w:val="22"/>
        </w:rPr>
        <w:t>l’autodétermination des étudiants, dans plusieurs domaines enseignés en Master MEEF</w:t>
      </w:r>
      <w:r w:rsidRPr="00EB4702">
        <w:rPr>
          <w:color w:val="000000" w:themeColor="text1"/>
          <w:sz w:val="22"/>
          <w:szCs w:val="22"/>
        </w:rPr>
        <w:t xml:space="preserve"> </w:t>
      </w:r>
      <w:r w:rsidRPr="00EB4702">
        <w:rPr>
          <w:color w:val="000000" w:themeColor="text1"/>
          <w:sz w:val="22"/>
          <w:szCs w:val="22"/>
        </w:rPr>
        <w:t>mention 1 er degré, dont l’éducation inclusive et la didactique du français. Chaque pratique</w:t>
      </w:r>
      <w:r w:rsidRPr="00EB4702">
        <w:rPr>
          <w:color w:val="000000" w:themeColor="text1"/>
          <w:sz w:val="22"/>
          <w:szCs w:val="22"/>
        </w:rPr>
        <w:t xml:space="preserve"> </w:t>
      </w:r>
      <w:r w:rsidRPr="00EB4702">
        <w:rPr>
          <w:color w:val="000000" w:themeColor="text1"/>
          <w:sz w:val="22"/>
          <w:szCs w:val="22"/>
        </w:rPr>
        <w:t>sera explicitée et analysée au regard de son fonctionnement et de ses buts en termes</w:t>
      </w:r>
      <w:r w:rsidRPr="00EB4702">
        <w:rPr>
          <w:color w:val="000000" w:themeColor="text1"/>
          <w:sz w:val="22"/>
          <w:szCs w:val="22"/>
        </w:rPr>
        <w:t xml:space="preserve"> </w:t>
      </w:r>
      <w:r w:rsidRPr="00EB4702">
        <w:rPr>
          <w:color w:val="000000" w:themeColor="text1"/>
          <w:sz w:val="22"/>
          <w:szCs w:val="22"/>
        </w:rPr>
        <w:t>d’accessibilité ainsi que des bénéfices et limites observés pour la formation. Nous</w:t>
      </w:r>
      <w:r w:rsidRPr="00EB4702">
        <w:rPr>
          <w:color w:val="000000" w:themeColor="text1"/>
          <w:sz w:val="22"/>
          <w:szCs w:val="22"/>
        </w:rPr>
        <w:t xml:space="preserve"> </w:t>
      </w:r>
      <w:r w:rsidRPr="00EB4702">
        <w:rPr>
          <w:color w:val="000000" w:themeColor="text1"/>
          <w:sz w:val="22"/>
          <w:szCs w:val="22"/>
        </w:rPr>
        <w:t>témoignerons également de la dynamique du groupe de travail au cours de ses trois années</w:t>
      </w:r>
      <w:r w:rsidRPr="00EB4702">
        <w:rPr>
          <w:color w:val="000000" w:themeColor="text1"/>
          <w:sz w:val="22"/>
          <w:szCs w:val="22"/>
        </w:rPr>
        <w:t xml:space="preserve"> </w:t>
      </w:r>
      <w:r w:rsidRPr="00EB4702">
        <w:rPr>
          <w:color w:val="000000" w:themeColor="text1"/>
          <w:sz w:val="22"/>
          <w:szCs w:val="22"/>
        </w:rPr>
        <w:t>de fonctionnement, de son intérêt pour le développement de pratiques inclusives à</w:t>
      </w:r>
      <w:r w:rsidRPr="00EB4702">
        <w:rPr>
          <w:color w:val="000000" w:themeColor="text1"/>
          <w:sz w:val="22"/>
          <w:szCs w:val="22"/>
        </w:rPr>
        <w:t xml:space="preserve"> l</w:t>
      </w:r>
      <w:r w:rsidRPr="00EB4702">
        <w:rPr>
          <w:color w:val="000000" w:themeColor="text1"/>
          <w:sz w:val="22"/>
          <w:szCs w:val="22"/>
        </w:rPr>
        <w:t>’université et des limites rencontrées.</w:t>
      </w:r>
    </w:p>
    <w:p w:rsidR="00EB4702" w:rsidRPr="00EB4702" w:rsidRDefault="00EB4702" w:rsidP="00EB4702">
      <w:pPr>
        <w:spacing w:line="276" w:lineRule="auto"/>
        <w:rPr>
          <w:color w:val="000000" w:themeColor="text1"/>
          <w:sz w:val="22"/>
          <w:szCs w:val="22"/>
        </w:rPr>
      </w:pPr>
    </w:p>
    <w:p w:rsidR="00EB4702" w:rsidRPr="00EB4702" w:rsidRDefault="00EB4702" w:rsidP="00EB4702">
      <w:pPr>
        <w:spacing w:line="276" w:lineRule="auto"/>
        <w:rPr>
          <w:color w:val="000000" w:themeColor="text1"/>
          <w:sz w:val="22"/>
          <w:szCs w:val="22"/>
        </w:rPr>
      </w:pPr>
      <w:proofErr w:type="spellStart"/>
      <w:r w:rsidRPr="00EB4702">
        <w:rPr>
          <w:color w:val="000000" w:themeColor="text1"/>
          <w:sz w:val="22"/>
          <w:szCs w:val="22"/>
        </w:rPr>
        <w:t>Béhague</w:t>
      </w:r>
      <w:proofErr w:type="spellEnd"/>
      <w:r w:rsidRPr="00EB4702">
        <w:rPr>
          <w:color w:val="000000" w:themeColor="text1"/>
          <w:sz w:val="22"/>
          <w:szCs w:val="22"/>
        </w:rPr>
        <w:t>, M. (2025) : Répondre aux besoins de chacun : fondements et mise en œuvre du</w:t>
      </w:r>
      <w:r w:rsidRPr="00EB4702">
        <w:rPr>
          <w:color w:val="000000" w:themeColor="text1"/>
          <w:sz w:val="22"/>
          <w:szCs w:val="22"/>
        </w:rPr>
        <w:t xml:space="preserve"> </w:t>
      </w:r>
      <w:r w:rsidRPr="00EB4702">
        <w:rPr>
          <w:color w:val="000000" w:themeColor="text1"/>
          <w:sz w:val="22"/>
          <w:szCs w:val="22"/>
        </w:rPr>
        <w:t>plan de travail. Recherches, n° 83.</w:t>
      </w:r>
    </w:p>
    <w:p w:rsidR="00EB4702" w:rsidRPr="00EB4702" w:rsidRDefault="00EB4702" w:rsidP="00EB4702">
      <w:pPr>
        <w:spacing w:line="276" w:lineRule="auto"/>
        <w:rPr>
          <w:color w:val="000000" w:themeColor="text1"/>
          <w:sz w:val="22"/>
          <w:szCs w:val="22"/>
        </w:rPr>
      </w:pPr>
      <w:r w:rsidRPr="00EB4702">
        <w:rPr>
          <w:color w:val="000000" w:themeColor="text1"/>
          <w:sz w:val="22"/>
          <w:szCs w:val="22"/>
        </w:rPr>
        <w:t>Bergeron, L., Rousseau, N. et Leclerc, M. (2011). La pédagogie universelle : Au cœur de la</w:t>
      </w:r>
    </w:p>
    <w:p w:rsidR="00EB4702" w:rsidRPr="00EB4702" w:rsidRDefault="00EB4702" w:rsidP="00EB4702">
      <w:pPr>
        <w:spacing w:line="276" w:lineRule="auto"/>
        <w:rPr>
          <w:color w:val="000000" w:themeColor="text1"/>
          <w:sz w:val="22"/>
          <w:szCs w:val="22"/>
        </w:rPr>
      </w:pPr>
      <w:proofErr w:type="gramStart"/>
      <w:r w:rsidRPr="00EB4702">
        <w:rPr>
          <w:color w:val="000000" w:themeColor="text1"/>
          <w:sz w:val="22"/>
          <w:szCs w:val="22"/>
        </w:rPr>
        <w:t>planification</w:t>
      </w:r>
      <w:proofErr w:type="gramEnd"/>
      <w:r w:rsidRPr="00EB4702">
        <w:rPr>
          <w:color w:val="000000" w:themeColor="text1"/>
          <w:sz w:val="22"/>
          <w:szCs w:val="22"/>
        </w:rPr>
        <w:t xml:space="preserve"> de l’inclusion scolaire. Éducation et francophonie, 39(2), 87-104.</w:t>
      </w:r>
    </w:p>
    <w:p w:rsidR="00EB4702" w:rsidRPr="00EB4702" w:rsidRDefault="00EB4702" w:rsidP="00EB4702">
      <w:pPr>
        <w:spacing w:line="276" w:lineRule="auto"/>
        <w:rPr>
          <w:color w:val="000000" w:themeColor="text1"/>
          <w:sz w:val="22"/>
          <w:szCs w:val="22"/>
        </w:rPr>
      </w:pPr>
      <w:r w:rsidRPr="00EB4702">
        <w:rPr>
          <w:color w:val="000000" w:themeColor="text1"/>
          <w:sz w:val="22"/>
          <w:szCs w:val="22"/>
          <w:lang w:val="en-US"/>
        </w:rPr>
        <w:t xml:space="preserve">CAST (2011). Universal Design for Learning guidelines version 2.0. </w:t>
      </w:r>
      <w:r w:rsidRPr="00EB4702">
        <w:rPr>
          <w:color w:val="000000" w:themeColor="text1"/>
          <w:sz w:val="22"/>
          <w:szCs w:val="22"/>
        </w:rPr>
        <w:t xml:space="preserve">Wakefield, MA : </w:t>
      </w:r>
      <w:proofErr w:type="spellStart"/>
      <w:r w:rsidRPr="00EB4702">
        <w:rPr>
          <w:color w:val="000000" w:themeColor="text1"/>
          <w:sz w:val="22"/>
          <w:szCs w:val="22"/>
        </w:rPr>
        <w:t>Author</w:t>
      </w:r>
      <w:proofErr w:type="spellEnd"/>
      <w:r w:rsidRPr="00EB4702">
        <w:rPr>
          <w:color w:val="000000" w:themeColor="text1"/>
          <w:sz w:val="22"/>
          <w:szCs w:val="22"/>
        </w:rPr>
        <w:t>.</w:t>
      </w:r>
    </w:p>
    <w:p w:rsidR="00EB4702" w:rsidRPr="00EB4702" w:rsidRDefault="00EB4702" w:rsidP="00EB4702">
      <w:pPr>
        <w:spacing w:line="276" w:lineRule="auto"/>
        <w:rPr>
          <w:color w:val="000000" w:themeColor="text1"/>
          <w:sz w:val="22"/>
          <w:szCs w:val="22"/>
        </w:rPr>
      </w:pPr>
      <w:r w:rsidRPr="00EB4702">
        <w:rPr>
          <w:color w:val="000000" w:themeColor="text1"/>
          <w:sz w:val="22"/>
          <w:szCs w:val="22"/>
        </w:rPr>
        <w:t xml:space="preserve">Goulet, C., </w:t>
      </w:r>
      <w:proofErr w:type="spellStart"/>
      <w:r w:rsidRPr="00EB4702">
        <w:rPr>
          <w:color w:val="000000" w:themeColor="text1"/>
          <w:sz w:val="22"/>
          <w:szCs w:val="22"/>
        </w:rPr>
        <w:t>LeLevier</w:t>
      </w:r>
      <w:proofErr w:type="spellEnd"/>
      <w:r w:rsidRPr="00EB4702">
        <w:rPr>
          <w:color w:val="000000" w:themeColor="text1"/>
          <w:sz w:val="22"/>
          <w:szCs w:val="22"/>
        </w:rPr>
        <w:t xml:space="preserve">, H., </w:t>
      </w:r>
      <w:proofErr w:type="spellStart"/>
      <w:r w:rsidRPr="00EB4702">
        <w:rPr>
          <w:color w:val="000000" w:themeColor="text1"/>
          <w:sz w:val="22"/>
          <w:szCs w:val="22"/>
        </w:rPr>
        <w:t>Béhague</w:t>
      </w:r>
      <w:proofErr w:type="spellEnd"/>
      <w:r w:rsidRPr="00EB4702">
        <w:rPr>
          <w:color w:val="000000" w:themeColor="text1"/>
          <w:sz w:val="22"/>
          <w:szCs w:val="22"/>
        </w:rPr>
        <w:t>, M. (2025) : Comment la pédagogie universelle éclaire la</w:t>
      </w:r>
    </w:p>
    <w:p w:rsidR="00EB4702" w:rsidRPr="00EB4702" w:rsidRDefault="00EB4702" w:rsidP="00EB4702">
      <w:pPr>
        <w:spacing w:line="276" w:lineRule="auto"/>
        <w:rPr>
          <w:color w:val="000000" w:themeColor="text1"/>
          <w:sz w:val="22"/>
          <w:szCs w:val="22"/>
        </w:rPr>
      </w:pPr>
      <w:proofErr w:type="gramStart"/>
      <w:r w:rsidRPr="00EB4702">
        <w:rPr>
          <w:color w:val="000000" w:themeColor="text1"/>
          <w:sz w:val="22"/>
          <w:szCs w:val="22"/>
        </w:rPr>
        <w:t>pratique</w:t>
      </w:r>
      <w:proofErr w:type="gramEnd"/>
      <w:r w:rsidRPr="00EB4702">
        <w:rPr>
          <w:color w:val="000000" w:themeColor="text1"/>
          <w:sz w:val="22"/>
          <w:szCs w:val="22"/>
        </w:rPr>
        <w:t xml:space="preserve"> du plan de travail. Recherches, n° 83.</w:t>
      </w:r>
    </w:p>
    <w:p w:rsidR="00EB4702" w:rsidRPr="00EB4702" w:rsidRDefault="00EB4702" w:rsidP="00EB4702">
      <w:pPr>
        <w:spacing w:line="276" w:lineRule="auto"/>
        <w:rPr>
          <w:color w:val="000000" w:themeColor="text1"/>
          <w:sz w:val="22"/>
          <w:szCs w:val="22"/>
        </w:rPr>
      </w:pPr>
      <w:proofErr w:type="spellStart"/>
      <w:r w:rsidRPr="00EB4702">
        <w:rPr>
          <w:color w:val="000000" w:themeColor="text1"/>
          <w:sz w:val="22"/>
          <w:szCs w:val="22"/>
        </w:rPr>
        <w:t>Kennel</w:t>
      </w:r>
      <w:proofErr w:type="spellEnd"/>
      <w:r w:rsidRPr="00EB4702">
        <w:rPr>
          <w:color w:val="000000" w:themeColor="text1"/>
          <w:sz w:val="22"/>
          <w:szCs w:val="22"/>
        </w:rPr>
        <w:t xml:space="preserve">, S., Guillon, S., </w:t>
      </w:r>
      <w:proofErr w:type="spellStart"/>
      <w:r w:rsidRPr="00EB4702">
        <w:rPr>
          <w:color w:val="000000" w:themeColor="text1"/>
          <w:sz w:val="22"/>
          <w:szCs w:val="22"/>
        </w:rPr>
        <w:t>Caublot</w:t>
      </w:r>
      <w:proofErr w:type="spellEnd"/>
      <w:r w:rsidRPr="00EB4702">
        <w:rPr>
          <w:color w:val="000000" w:themeColor="text1"/>
          <w:sz w:val="22"/>
          <w:szCs w:val="22"/>
        </w:rPr>
        <w:t>, M., et Rohmer, O. (2021). La pédagogie inclusive :</w:t>
      </w:r>
      <w:r w:rsidRPr="00EB4702">
        <w:rPr>
          <w:color w:val="000000" w:themeColor="text1"/>
          <w:sz w:val="22"/>
          <w:szCs w:val="22"/>
        </w:rPr>
        <w:t xml:space="preserve"> </w:t>
      </w:r>
      <w:r w:rsidRPr="00EB4702">
        <w:rPr>
          <w:color w:val="000000" w:themeColor="text1"/>
          <w:sz w:val="22"/>
          <w:szCs w:val="22"/>
        </w:rPr>
        <w:t>représentations et pratiques des enseignants à l’université. La nouvelle revue – Éducation et</w:t>
      </w:r>
      <w:r w:rsidRPr="00EB4702">
        <w:rPr>
          <w:color w:val="000000" w:themeColor="text1"/>
          <w:sz w:val="22"/>
          <w:szCs w:val="22"/>
        </w:rPr>
        <w:t xml:space="preserve"> </w:t>
      </w:r>
      <w:r w:rsidRPr="00EB4702">
        <w:rPr>
          <w:color w:val="000000" w:themeColor="text1"/>
          <w:sz w:val="22"/>
          <w:szCs w:val="22"/>
        </w:rPr>
        <w:t>société inclusives, 89-90(2), 23-45.</w:t>
      </w:r>
    </w:p>
    <w:p w:rsidR="00EB4702" w:rsidRPr="00EB4702" w:rsidRDefault="00EB4702" w:rsidP="00EB4702">
      <w:pPr>
        <w:spacing w:line="276" w:lineRule="auto"/>
        <w:rPr>
          <w:color w:val="000000" w:themeColor="text1"/>
          <w:sz w:val="22"/>
          <w:szCs w:val="22"/>
        </w:rPr>
      </w:pPr>
      <w:proofErr w:type="spellStart"/>
      <w:r w:rsidRPr="00EB4702">
        <w:rPr>
          <w:color w:val="000000" w:themeColor="text1"/>
          <w:sz w:val="22"/>
          <w:szCs w:val="22"/>
        </w:rPr>
        <w:t>S</w:t>
      </w:r>
      <w:r>
        <w:rPr>
          <w:color w:val="000000" w:themeColor="text1"/>
          <w:sz w:val="22"/>
          <w:szCs w:val="22"/>
        </w:rPr>
        <w:t>egard</w:t>
      </w:r>
      <w:proofErr w:type="spellEnd"/>
      <w:r w:rsidRPr="00EB4702">
        <w:rPr>
          <w:color w:val="000000" w:themeColor="text1"/>
          <w:sz w:val="22"/>
          <w:szCs w:val="22"/>
        </w:rPr>
        <w:t>, E. (2022), Le transfert des innovations dans le domaine du handicap – Quelles</w:t>
      </w:r>
      <w:r w:rsidRPr="00EB4702">
        <w:rPr>
          <w:color w:val="000000" w:themeColor="text1"/>
          <w:sz w:val="22"/>
          <w:szCs w:val="22"/>
        </w:rPr>
        <w:t xml:space="preserve"> </w:t>
      </w:r>
      <w:r w:rsidRPr="00EB4702">
        <w:rPr>
          <w:color w:val="000000" w:themeColor="text1"/>
          <w:sz w:val="22"/>
          <w:szCs w:val="22"/>
        </w:rPr>
        <w:t>approches opérationnelles pour soutenir le transfert sur le terrain ? FIRAH, 77 pages</w:t>
      </w:r>
    </w:p>
    <w:p w:rsidR="00EB4702" w:rsidRPr="00EB4702" w:rsidRDefault="00EB4702" w:rsidP="00EB4702">
      <w:pPr>
        <w:spacing w:line="276" w:lineRule="auto"/>
        <w:rPr>
          <w:b/>
          <w:bCs/>
          <w:color w:val="000000" w:themeColor="text1"/>
          <w:sz w:val="22"/>
          <w:szCs w:val="22"/>
        </w:rPr>
      </w:pPr>
    </w:p>
    <w:p w:rsidR="00FE7FB7" w:rsidRDefault="00FE7FB7" w:rsidP="00966500">
      <w:pPr>
        <w:rPr>
          <w:sz w:val="22"/>
          <w:szCs w:val="22"/>
        </w:rPr>
      </w:pPr>
    </w:p>
    <w:p w:rsidR="009D73B4" w:rsidRPr="009D73B4" w:rsidRDefault="009D73B4" w:rsidP="009D73B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color w:val="0070C0"/>
          <w:shd w:val="clear" w:color="auto" w:fill="FFFFFF"/>
        </w:rPr>
      </w:pPr>
      <w:r w:rsidRPr="009D73B4">
        <w:rPr>
          <w:b/>
          <w:bCs/>
          <w:color w:val="0070C0"/>
          <w:shd w:val="clear" w:color="auto" w:fill="FFFFFF"/>
        </w:rPr>
        <w:t>Karine Gros</w:t>
      </w:r>
    </w:p>
    <w:p w:rsidR="005B3300" w:rsidRPr="009D73B4" w:rsidRDefault="005B3300" w:rsidP="005B3300">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color w:val="0070C0"/>
          <w:shd w:val="clear" w:color="auto" w:fill="FFFFFF"/>
        </w:rPr>
      </w:pPr>
      <w:r w:rsidRPr="009D73B4">
        <w:rPr>
          <w:color w:val="0070C0"/>
          <w:shd w:val="clear" w:color="auto" w:fill="FFFFFF"/>
        </w:rPr>
        <w:t>Vers un enseignement supérieur capacitant : ingénierie du care et autodétermination pour l'insertion professionnelle des étudiants autistes (retour d'expérience Atypie-</w:t>
      </w:r>
      <w:proofErr w:type="spellStart"/>
      <w:r w:rsidRPr="009D73B4">
        <w:rPr>
          <w:color w:val="0070C0"/>
          <w:shd w:val="clear" w:color="auto" w:fill="FFFFFF"/>
        </w:rPr>
        <w:t>Friendly</w:t>
      </w:r>
      <w:proofErr w:type="spellEnd"/>
      <w:r w:rsidRPr="009D73B4">
        <w:rPr>
          <w:color w:val="0070C0"/>
          <w:shd w:val="clear" w:color="auto" w:fill="FFFFFF"/>
        </w:rPr>
        <w:t>, UPEC)</w:t>
      </w:r>
    </w:p>
    <w:p w:rsidR="005B3300" w:rsidRDefault="005B3300" w:rsidP="005B3300">
      <w:pPr>
        <w:pStyle w:val="NormalWeb"/>
        <w:rPr>
          <w:color w:val="447784"/>
          <w:sz w:val="22"/>
          <w:szCs w:val="22"/>
        </w:rPr>
      </w:pPr>
      <w:r w:rsidRPr="005B3300">
        <w:rPr>
          <w:b/>
          <w:bCs/>
          <w:sz w:val="22"/>
          <w:szCs w:val="22"/>
        </w:rPr>
        <w:t>Karine Gros</w:t>
      </w:r>
      <w:r w:rsidRPr="005B3300">
        <w:rPr>
          <w:b/>
          <w:bCs/>
          <w:sz w:val="22"/>
          <w:szCs w:val="22"/>
        </w:rPr>
        <w:t xml:space="preserve"> </w:t>
      </w:r>
      <w:r w:rsidRPr="005B3300">
        <w:rPr>
          <w:sz w:val="22"/>
          <w:szCs w:val="22"/>
        </w:rPr>
        <w:t xml:space="preserve">est </w:t>
      </w:r>
      <w:r w:rsidRPr="005B3300">
        <w:rPr>
          <w:sz w:val="22"/>
          <w:szCs w:val="22"/>
        </w:rPr>
        <w:t>Ma</w:t>
      </w:r>
      <w:r w:rsidRPr="005B3300">
        <w:rPr>
          <w:sz w:val="22"/>
          <w:szCs w:val="22"/>
        </w:rPr>
        <w:t>îtresse</w:t>
      </w:r>
      <w:r w:rsidRPr="005B3300">
        <w:rPr>
          <w:sz w:val="22"/>
          <w:szCs w:val="22"/>
        </w:rPr>
        <w:t xml:space="preserve"> de </w:t>
      </w:r>
      <w:proofErr w:type="spellStart"/>
      <w:r w:rsidRPr="005B3300">
        <w:rPr>
          <w:sz w:val="22"/>
          <w:szCs w:val="22"/>
        </w:rPr>
        <w:t>Conférences</w:t>
      </w:r>
      <w:proofErr w:type="spellEnd"/>
      <w:r w:rsidRPr="005B3300">
        <w:rPr>
          <w:sz w:val="22"/>
          <w:szCs w:val="22"/>
        </w:rPr>
        <w:t xml:space="preserve"> HDR, Titulaire de la Chaire Handicap, Emploi et Santé au travail</w:t>
      </w:r>
      <w:r w:rsidRPr="005B3300">
        <w:rPr>
          <w:sz w:val="22"/>
          <w:szCs w:val="22"/>
        </w:rPr>
        <w:t xml:space="preserve"> et</w:t>
      </w:r>
      <w:r w:rsidRPr="005B3300">
        <w:rPr>
          <w:sz w:val="22"/>
          <w:szCs w:val="22"/>
        </w:rPr>
        <w:t xml:space="preserve"> ambassadrice aval Atypie </w:t>
      </w:r>
      <w:proofErr w:type="spellStart"/>
      <w:r w:rsidRPr="005B3300">
        <w:rPr>
          <w:sz w:val="22"/>
          <w:szCs w:val="22"/>
        </w:rPr>
        <w:t>Friendly</w:t>
      </w:r>
      <w:proofErr w:type="spellEnd"/>
      <w:r w:rsidRPr="005B3300">
        <w:rPr>
          <w:sz w:val="22"/>
          <w:szCs w:val="22"/>
        </w:rPr>
        <w:t xml:space="preserve"> à l’</w:t>
      </w:r>
      <w:proofErr w:type="spellStart"/>
      <w:r w:rsidRPr="005B3300">
        <w:rPr>
          <w:sz w:val="22"/>
          <w:szCs w:val="22"/>
        </w:rPr>
        <w:t>Universite</w:t>
      </w:r>
      <w:proofErr w:type="spellEnd"/>
      <w:r w:rsidRPr="005B3300">
        <w:rPr>
          <w:sz w:val="22"/>
          <w:szCs w:val="22"/>
        </w:rPr>
        <w:t xml:space="preserve">́ Paris-Est </w:t>
      </w:r>
      <w:proofErr w:type="spellStart"/>
      <w:r w:rsidRPr="005B3300">
        <w:rPr>
          <w:sz w:val="22"/>
          <w:szCs w:val="22"/>
        </w:rPr>
        <w:t>Créteil</w:t>
      </w:r>
      <w:proofErr w:type="spellEnd"/>
      <w:r w:rsidRPr="005B3300">
        <w:rPr>
          <w:sz w:val="22"/>
          <w:szCs w:val="22"/>
        </w:rPr>
        <w:t>, Inserm, IMRB, SENCODE Team</w:t>
      </w:r>
      <w:r w:rsidRPr="005B3300">
        <w:rPr>
          <w:sz w:val="22"/>
          <w:szCs w:val="22"/>
        </w:rPr>
        <w:t>.</w:t>
      </w:r>
      <w:r w:rsidRPr="005B3300">
        <w:rPr>
          <w:color w:val="447784"/>
          <w:sz w:val="22"/>
          <w:szCs w:val="22"/>
        </w:rPr>
        <w:t xml:space="preserve"> </w:t>
      </w:r>
    </w:p>
    <w:p w:rsidR="005B3300" w:rsidRPr="005B3300" w:rsidRDefault="005B3300" w:rsidP="005B3300">
      <w:pPr>
        <w:pStyle w:val="NormalWeb"/>
        <w:shd w:val="clear" w:color="auto" w:fill="FFFFFF"/>
        <w:spacing w:before="0" w:beforeAutospacing="0" w:after="0" w:afterAutospacing="0"/>
        <w:rPr>
          <w:b/>
          <w:bCs/>
          <w:color w:val="000000" w:themeColor="text1"/>
          <w:sz w:val="22"/>
          <w:szCs w:val="22"/>
          <w:shd w:val="clear" w:color="auto" w:fill="FFFFFF"/>
        </w:rPr>
      </w:pPr>
      <w:r w:rsidRPr="005B3300">
        <w:rPr>
          <w:b/>
          <w:bCs/>
          <w:color w:val="000000" w:themeColor="text1"/>
          <w:sz w:val="22"/>
          <w:szCs w:val="22"/>
          <w:shd w:val="clear" w:color="auto" w:fill="FFFFFF"/>
        </w:rPr>
        <w:t>Vers un enseignement supérieur capacitant : ingénierie du care et autodétermination pour l'insertion professionnelle des étudiants autistes (retour d'expérience Atypie-</w:t>
      </w:r>
      <w:proofErr w:type="spellStart"/>
      <w:r w:rsidRPr="005B3300">
        <w:rPr>
          <w:b/>
          <w:bCs/>
          <w:color w:val="000000" w:themeColor="text1"/>
          <w:sz w:val="22"/>
          <w:szCs w:val="22"/>
          <w:shd w:val="clear" w:color="auto" w:fill="FFFFFF"/>
        </w:rPr>
        <w:t>Friendly</w:t>
      </w:r>
      <w:proofErr w:type="spellEnd"/>
      <w:r w:rsidRPr="005B3300">
        <w:rPr>
          <w:b/>
          <w:bCs/>
          <w:color w:val="000000" w:themeColor="text1"/>
          <w:sz w:val="22"/>
          <w:szCs w:val="22"/>
          <w:shd w:val="clear" w:color="auto" w:fill="FFFFFF"/>
        </w:rPr>
        <w:t>, UPEC)</w:t>
      </w:r>
    </w:p>
    <w:p w:rsidR="005B3300" w:rsidRPr="005B3300" w:rsidRDefault="005B3300" w:rsidP="005B3300">
      <w:pPr>
        <w:pStyle w:val="NormalWeb"/>
        <w:shd w:val="clear" w:color="auto" w:fill="FFFFFF"/>
        <w:spacing w:before="0" w:beforeAutospacing="0" w:after="0" w:afterAutospacing="0"/>
        <w:jc w:val="both"/>
        <w:rPr>
          <w:color w:val="151515"/>
          <w:sz w:val="22"/>
          <w:szCs w:val="22"/>
          <w:shd w:val="clear" w:color="auto" w:fill="FFFFFF"/>
        </w:rPr>
      </w:pPr>
    </w:p>
    <w:p w:rsidR="005B3300" w:rsidRPr="005B3300" w:rsidRDefault="005B3300" w:rsidP="005B3300">
      <w:pPr>
        <w:pStyle w:val="NormalWeb"/>
        <w:shd w:val="clear" w:color="auto" w:fill="FFFFFF"/>
        <w:spacing w:before="0" w:beforeAutospacing="0" w:after="0" w:afterAutospacing="0"/>
        <w:jc w:val="both"/>
        <w:rPr>
          <w:color w:val="151515"/>
          <w:sz w:val="22"/>
          <w:szCs w:val="22"/>
        </w:rPr>
      </w:pPr>
      <w:r w:rsidRPr="005B3300">
        <w:rPr>
          <w:rStyle w:val="lev"/>
          <w:color w:val="151515"/>
          <w:sz w:val="22"/>
          <w:szCs w:val="22"/>
        </w:rPr>
        <w:t>Contexte – </w:t>
      </w:r>
      <w:r w:rsidRPr="005B3300">
        <w:rPr>
          <w:color w:val="151515"/>
          <w:sz w:val="22"/>
          <w:szCs w:val="22"/>
        </w:rPr>
        <w:t>L'accès des étudiants présentant un trouble du spectre de l'autisme (TSA) à l'enseignement supérieur progresse, mais la continuité des parcours vers l'emploi demeure fragile. Les difficultés se cristallisent lors des transitions (recherche de stage, alternance, recrutement), lorsque les attendus sont implicites, les interactions peu prévisibles et la coordination entre acteurs universitaires et employeurs insuffisamment structurée.</w:t>
      </w:r>
    </w:p>
    <w:p w:rsidR="005B3300" w:rsidRPr="005B3300" w:rsidRDefault="005B3300" w:rsidP="005B3300">
      <w:pPr>
        <w:pStyle w:val="NormalWeb"/>
        <w:shd w:val="clear" w:color="auto" w:fill="FFFFFF"/>
        <w:spacing w:before="0" w:beforeAutospacing="0" w:after="0" w:afterAutospacing="0"/>
        <w:jc w:val="both"/>
        <w:rPr>
          <w:color w:val="151515"/>
          <w:sz w:val="22"/>
          <w:szCs w:val="22"/>
        </w:rPr>
      </w:pPr>
      <w:r w:rsidRPr="005B3300">
        <w:rPr>
          <w:rStyle w:val="lev"/>
          <w:color w:val="151515"/>
          <w:sz w:val="22"/>
          <w:szCs w:val="22"/>
        </w:rPr>
        <w:t>Problématique – </w:t>
      </w:r>
      <w:r w:rsidRPr="005B3300">
        <w:rPr>
          <w:color w:val="151515"/>
          <w:sz w:val="22"/>
          <w:szCs w:val="22"/>
        </w:rPr>
        <w:t xml:space="preserve">Dans quelle mesure un dispositif institutionnalisé d'accompagnement « en continuum », adossé </w:t>
      </w:r>
      <w:proofErr w:type="gramStart"/>
      <w:r w:rsidRPr="005B3300">
        <w:rPr>
          <w:color w:val="151515"/>
          <w:sz w:val="22"/>
          <w:szCs w:val="22"/>
        </w:rPr>
        <w:t xml:space="preserve">au </w:t>
      </w:r>
      <w:r w:rsidRPr="005B3300">
        <w:rPr>
          <w:i/>
          <w:iCs/>
          <w:color w:val="151515"/>
          <w:sz w:val="22"/>
          <w:szCs w:val="22"/>
        </w:rPr>
        <w:t>care</w:t>
      </w:r>
      <w:proofErr w:type="gramEnd"/>
      <w:r w:rsidRPr="005B3300">
        <w:rPr>
          <w:color w:val="151515"/>
          <w:sz w:val="22"/>
          <w:szCs w:val="22"/>
        </w:rPr>
        <w:t xml:space="preserve"> et à l'approche par les capabilités, transforme-t-il l'organisation universitaire et l'interface université–entreprises afin de renforcer l'autodétermination et de sécuriser l'insertion professionnelle des étudiants avec TSA ?</w:t>
      </w:r>
    </w:p>
    <w:p w:rsidR="005B3300" w:rsidRPr="005B3300" w:rsidRDefault="005B3300" w:rsidP="005B3300">
      <w:pPr>
        <w:pStyle w:val="NormalWeb"/>
        <w:shd w:val="clear" w:color="auto" w:fill="FFFFFF"/>
        <w:spacing w:before="0" w:beforeAutospacing="0" w:after="0" w:afterAutospacing="0"/>
        <w:jc w:val="both"/>
        <w:rPr>
          <w:color w:val="151515"/>
          <w:sz w:val="22"/>
          <w:szCs w:val="22"/>
        </w:rPr>
      </w:pPr>
      <w:r w:rsidRPr="005B3300">
        <w:rPr>
          <w:rStyle w:val="lev"/>
          <w:color w:val="151515"/>
          <w:sz w:val="22"/>
          <w:szCs w:val="22"/>
        </w:rPr>
        <w:t>Cadre théorique – </w:t>
      </w:r>
      <w:r w:rsidRPr="005B3300">
        <w:rPr>
          <w:color w:val="151515"/>
          <w:sz w:val="22"/>
          <w:szCs w:val="22"/>
        </w:rPr>
        <w:t>La proposition articule (1) l'éthique du care (continuité attentionnelle, sécurisation des transitions, prévention des ruptures) et (2) l'approche par les capabilités (</w:t>
      </w:r>
      <w:proofErr w:type="spellStart"/>
      <w:r w:rsidRPr="005B3300">
        <w:rPr>
          <w:color w:val="151515"/>
          <w:sz w:val="22"/>
          <w:szCs w:val="22"/>
        </w:rPr>
        <w:t>Fernagu</w:t>
      </w:r>
      <w:proofErr w:type="spellEnd"/>
      <w:r w:rsidRPr="005B3300">
        <w:rPr>
          <w:color w:val="151515"/>
          <w:sz w:val="22"/>
          <w:szCs w:val="22"/>
        </w:rPr>
        <w:t>, 2010), centrée sur les « facteurs de conversion » qui rendent effectifs l'accès, la participation et la professionnalisation. L'enseignement supérieur est ici envisagé comme environnement potentiellement capacitant (Falzon, 2013) lorsqu'il soutient l'agentivité : compréhension des règles, explicitation de besoins fonctionnels, négociation de conditions de performance. Ce cadre déplace l'analyse du « déficit individuel » vers la qualité des environnements, des médiations et de la coordination.</w:t>
      </w:r>
    </w:p>
    <w:p w:rsidR="005B3300" w:rsidRPr="005B3300" w:rsidRDefault="005B3300" w:rsidP="005B3300">
      <w:pPr>
        <w:pStyle w:val="NormalWeb"/>
        <w:shd w:val="clear" w:color="auto" w:fill="FFFFFF"/>
        <w:spacing w:before="0" w:beforeAutospacing="0" w:after="0" w:afterAutospacing="0"/>
        <w:jc w:val="both"/>
        <w:rPr>
          <w:color w:val="151515"/>
          <w:sz w:val="22"/>
          <w:szCs w:val="22"/>
        </w:rPr>
      </w:pPr>
      <w:r w:rsidRPr="005B3300">
        <w:rPr>
          <w:rStyle w:val="lev"/>
          <w:color w:val="151515"/>
          <w:sz w:val="22"/>
          <w:szCs w:val="22"/>
        </w:rPr>
        <w:t>Hypothèse – </w:t>
      </w:r>
      <w:r w:rsidRPr="005B3300">
        <w:rPr>
          <w:color w:val="151515"/>
          <w:sz w:val="22"/>
          <w:szCs w:val="22"/>
        </w:rPr>
        <w:t>Une ingénierie d'accompagnement structurée en continuum (entrée → conditions d'études → professionnalisation → insertion) accroît l'employabilité inclusive en rendant explicites attendus et critères, en stabilisant médiations et responsabilités, et en développant l'autodétermination, plutôt qu'en se limitant à des ajustements ponctuels centrés sur l'individu.</w:t>
      </w:r>
    </w:p>
    <w:p w:rsidR="005B3300" w:rsidRPr="005B3300" w:rsidRDefault="005B3300" w:rsidP="005B3300">
      <w:pPr>
        <w:pStyle w:val="NormalWeb"/>
        <w:shd w:val="clear" w:color="auto" w:fill="FFFFFF"/>
        <w:spacing w:before="0" w:beforeAutospacing="0" w:after="0" w:afterAutospacing="0"/>
        <w:jc w:val="both"/>
        <w:rPr>
          <w:color w:val="151515"/>
          <w:sz w:val="22"/>
          <w:szCs w:val="22"/>
        </w:rPr>
      </w:pPr>
      <w:r w:rsidRPr="005B3300">
        <w:rPr>
          <w:rStyle w:val="lev"/>
          <w:color w:val="151515"/>
          <w:sz w:val="22"/>
          <w:szCs w:val="22"/>
        </w:rPr>
        <w:t>Objectifs – </w:t>
      </w:r>
      <w:r w:rsidRPr="005B3300">
        <w:rPr>
          <w:color w:val="151515"/>
          <w:sz w:val="22"/>
          <w:szCs w:val="22"/>
        </w:rPr>
        <w:t>(1) Décrire l'architecture du dispositif Atypie-</w:t>
      </w:r>
      <w:proofErr w:type="spellStart"/>
      <w:r w:rsidRPr="005B3300">
        <w:rPr>
          <w:color w:val="151515"/>
          <w:sz w:val="22"/>
          <w:szCs w:val="22"/>
        </w:rPr>
        <w:t>Friendly</w:t>
      </w:r>
      <w:proofErr w:type="spellEnd"/>
      <w:r w:rsidRPr="005B3300">
        <w:rPr>
          <w:color w:val="151515"/>
          <w:sz w:val="22"/>
          <w:szCs w:val="22"/>
        </w:rPr>
        <w:t xml:space="preserve"> à l'UPEC (gouvernance transversale, articulation cellule handicap/SSE, mobilisation orientation-insertion et partenaires). (2) Identifier les mécanismes concrets de capacitation en situation. (3) Dégager des conditions de transférabilité pour d'autres universités.</w:t>
      </w:r>
    </w:p>
    <w:p w:rsidR="005B3300" w:rsidRPr="005B3300" w:rsidRDefault="005B3300" w:rsidP="005B3300">
      <w:pPr>
        <w:pStyle w:val="NormalWeb"/>
        <w:shd w:val="clear" w:color="auto" w:fill="FFFFFF"/>
        <w:spacing w:before="0" w:beforeAutospacing="0" w:after="0" w:afterAutospacing="0"/>
        <w:jc w:val="both"/>
        <w:rPr>
          <w:color w:val="151515"/>
          <w:sz w:val="22"/>
          <w:szCs w:val="22"/>
        </w:rPr>
      </w:pPr>
      <w:r w:rsidRPr="005B3300">
        <w:rPr>
          <w:rStyle w:val="lev"/>
          <w:color w:val="151515"/>
          <w:sz w:val="22"/>
          <w:szCs w:val="22"/>
        </w:rPr>
        <w:t>Méthode – </w:t>
      </w:r>
      <w:r w:rsidRPr="005B3300">
        <w:rPr>
          <w:color w:val="151515"/>
          <w:sz w:val="22"/>
          <w:szCs w:val="22"/>
        </w:rPr>
        <w:t xml:space="preserve">Étude de cas instrumentale à visée compréhensive : analyse documentaire du dispositif ; mobilisation d'éléments de suivi du déploiement (cohorte accompagnée depuis 2018, évolution des </w:t>
      </w:r>
      <w:r w:rsidRPr="005B3300">
        <w:rPr>
          <w:color w:val="151515"/>
          <w:sz w:val="22"/>
          <w:szCs w:val="22"/>
        </w:rPr>
        <w:lastRenderedPageBreak/>
        <w:t>accompagnements) ; et vignette de parcours (étudiant en BUT Mesures Physiques) pour décrire des micro-transformations organisationnelles : explicitation des consignes et critères d'évaluation, préparation des moments clés, régulation des échanges, médiation avec tuteurs/équipes, anticipation des points de rupture.</w:t>
      </w:r>
    </w:p>
    <w:p w:rsidR="005B3300" w:rsidRPr="005B3300" w:rsidRDefault="005B3300" w:rsidP="005B3300">
      <w:pPr>
        <w:pStyle w:val="NormalWeb"/>
        <w:shd w:val="clear" w:color="auto" w:fill="FFFFFF"/>
        <w:spacing w:before="0" w:beforeAutospacing="0" w:after="0" w:afterAutospacing="0"/>
        <w:jc w:val="both"/>
        <w:rPr>
          <w:color w:val="151515"/>
          <w:sz w:val="22"/>
          <w:szCs w:val="22"/>
        </w:rPr>
      </w:pPr>
      <w:r w:rsidRPr="005B3300">
        <w:rPr>
          <w:rStyle w:val="lev"/>
          <w:color w:val="151515"/>
          <w:sz w:val="22"/>
          <w:szCs w:val="22"/>
        </w:rPr>
        <w:t>Résultats attendus / contribution </w:t>
      </w:r>
      <w:r w:rsidRPr="005B3300">
        <w:rPr>
          <w:color w:val="151515"/>
          <w:sz w:val="22"/>
          <w:szCs w:val="22"/>
        </w:rPr>
        <w:t>– La communication montrera comment ces micro-transformations, soutenues par une gouvernance explicite, renforcent l'autodétermination, sécurisent les expériences professionnalisantes et rendent visibles des compétences transférables. Elle proposera une modélisation du continuum care–capabilités comme levier d'un enseignement supérieur réellement inclusif, orienté vers la transition vers l'emploi.</w:t>
      </w:r>
    </w:p>
    <w:p w:rsidR="005B3300" w:rsidRDefault="005B3300" w:rsidP="005B3300"/>
    <w:p w:rsidR="002C4CA3" w:rsidRPr="006667BE" w:rsidRDefault="002C4CA3" w:rsidP="002C4CA3">
      <w:pPr>
        <w:rPr>
          <w:sz w:val="22"/>
          <w:szCs w:val="22"/>
        </w:rPr>
      </w:pPr>
    </w:p>
    <w:p w:rsidR="009D73B4" w:rsidRPr="009D73B4" w:rsidRDefault="009D73B4" w:rsidP="009D73B4">
      <w:pPr>
        <w:pBdr>
          <w:top w:val="single" w:sz="4" w:space="1" w:color="auto"/>
          <w:left w:val="single" w:sz="4" w:space="1" w:color="auto"/>
          <w:bottom w:val="single" w:sz="4" w:space="1" w:color="auto"/>
          <w:right w:val="single" w:sz="4" w:space="1" w:color="auto"/>
        </w:pBdr>
        <w:rPr>
          <w:b/>
          <w:bCs/>
          <w:color w:val="0070C0"/>
        </w:rPr>
      </w:pPr>
      <w:r w:rsidRPr="009D73B4">
        <w:rPr>
          <w:b/>
          <w:bCs/>
          <w:color w:val="0070C0"/>
        </w:rPr>
        <w:t>Nicolas Joncourt et Juliette Speranza</w:t>
      </w:r>
    </w:p>
    <w:p w:rsidR="002C4CA3" w:rsidRPr="009D73B4" w:rsidRDefault="005F02B4" w:rsidP="005F02B4">
      <w:pPr>
        <w:pStyle w:val="Pardfaut"/>
        <w:pBdr>
          <w:top w:val="single" w:sz="4" w:space="1" w:color="auto"/>
          <w:left w:val="single" w:sz="4" w:space="1" w:color="auto"/>
          <w:bottom w:val="single" w:sz="4" w:space="1" w:color="auto"/>
          <w:right w:val="single" w:sz="4" w:space="1" w:color="auto"/>
        </w:pBdr>
        <w:spacing w:before="0" w:line="240" w:lineRule="auto"/>
        <w:rPr>
          <w:rFonts w:eastAsia="Helvetica" w:cs="Helvetica"/>
          <w:color w:val="0070C0"/>
        </w:rPr>
      </w:pPr>
      <w:r w:rsidRPr="009D73B4">
        <w:rPr>
          <w:rStyle w:val="Aucun"/>
          <w:color w:val="0070C0"/>
        </w:rPr>
        <w:t>Le rôle des personnes concernées dans l’empouvoirement académique  </w:t>
      </w:r>
    </w:p>
    <w:p w:rsidR="005F02B4" w:rsidRPr="003F0721" w:rsidRDefault="005F02B4" w:rsidP="005F02B4">
      <w:pPr>
        <w:pStyle w:val="NormalWeb"/>
        <w:shd w:val="clear" w:color="auto" w:fill="FFFFFF"/>
        <w:rPr>
          <w:sz w:val="22"/>
          <w:szCs w:val="22"/>
        </w:rPr>
      </w:pPr>
      <w:r w:rsidRPr="003F0721">
        <w:rPr>
          <w:rFonts w:cs="Arial"/>
          <w:b/>
          <w:bCs/>
          <w:sz w:val="22"/>
          <w:szCs w:val="22"/>
        </w:rPr>
        <w:t>Nicolas J</w:t>
      </w:r>
      <w:r w:rsidRPr="003F0721">
        <w:rPr>
          <w:rFonts w:cs="Arial"/>
          <w:b/>
          <w:bCs/>
          <w:sz w:val="22"/>
          <w:szCs w:val="22"/>
        </w:rPr>
        <w:t>ONCOURT</w:t>
      </w:r>
      <w:r w:rsidRPr="003F0721">
        <w:rPr>
          <w:rFonts w:cs="Arial"/>
          <w:b/>
          <w:bCs/>
          <w:sz w:val="22"/>
          <w:szCs w:val="22"/>
        </w:rPr>
        <w:t xml:space="preserve"> </w:t>
      </w:r>
      <w:r w:rsidRPr="003F0721">
        <w:rPr>
          <w:sz w:val="22"/>
          <w:szCs w:val="22"/>
        </w:rPr>
        <w:t>est autiste non oralisant utilisateur de CAA.</w:t>
      </w:r>
      <w:r w:rsidRPr="003F0721">
        <w:rPr>
          <w:sz w:val="22"/>
          <w:szCs w:val="22"/>
        </w:rPr>
        <w:t xml:space="preserve"> </w:t>
      </w:r>
      <w:r w:rsidRPr="003F0721">
        <w:rPr>
          <w:sz w:val="22"/>
          <w:szCs w:val="22"/>
        </w:rPr>
        <w:t xml:space="preserve">Il suit des </w:t>
      </w:r>
      <w:r w:rsidRPr="003F0721">
        <w:rPr>
          <w:sz w:val="22"/>
          <w:szCs w:val="22"/>
        </w:rPr>
        <w:t>études de</w:t>
      </w:r>
      <w:r w:rsidRPr="003F0721">
        <w:rPr>
          <w:sz w:val="22"/>
          <w:szCs w:val="22"/>
        </w:rPr>
        <w:t xml:space="preserve"> sociologie à l’</w:t>
      </w:r>
      <w:r w:rsidRPr="003F0721">
        <w:rPr>
          <w:sz w:val="22"/>
          <w:szCs w:val="22"/>
        </w:rPr>
        <w:t>universit</w:t>
      </w:r>
      <w:r w:rsidR="003F0721">
        <w:rPr>
          <w:sz w:val="22"/>
          <w:szCs w:val="22"/>
        </w:rPr>
        <w:t>é</w:t>
      </w:r>
      <w:r w:rsidRPr="003F0721">
        <w:rPr>
          <w:sz w:val="22"/>
          <w:szCs w:val="22"/>
        </w:rPr>
        <w:t xml:space="preserve"> Rennes 2. Il s’</w:t>
      </w:r>
      <w:r w:rsidRPr="003F0721">
        <w:rPr>
          <w:sz w:val="22"/>
          <w:szCs w:val="22"/>
        </w:rPr>
        <w:t>intéresse</w:t>
      </w:r>
      <w:r w:rsidRPr="003F0721">
        <w:rPr>
          <w:sz w:val="22"/>
          <w:szCs w:val="22"/>
        </w:rPr>
        <w:t xml:space="preserve"> à la mise en œ</w:t>
      </w:r>
      <w:r w:rsidRPr="003F0721">
        <w:rPr>
          <w:sz w:val="22"/>
          <w:szCs w:val="22"/>
        </w:rPr>
        <w:t>uvre de la CDPH, en</w:t>
      </w:r>
      <w:r w:rsidRPr="003F0721">
        <w:rPr>
          <w:sz w:val="22"/>
          <w:szCs w:val="22"/>
        </w:rPr>
        <w:br/>
        <w:t xml:space="preserve">particulier à l'article 12 sur la capacité juridique. Il est actif depuis plusieurs </w:t>
      </w:r>
      <w:r w:rsidRPr="003F0721">
        <w:rPr>
          <w:sz w:val="22"/>
          <w:szCs w:val="22"/>
        </w:rPr>
        <w:t>années dans</w:t>
      </w:r>
      <w:r w:rsidRPr="003F0721">
        <w:rPr>
          <w:sz w:val="22"/>
          <w:szCs w:val="22"/>
        </w:rPr>
        <w:t xml:space="preserve"> des associations pour le droit des personnes </w:t>
      </w:r>
      <w:r w:rsidRPr="003F0721">
        <w:rPr>
          <w:sz w:val="22"/>
          <w:szCs w:val="22"/>
        </w:rPr>
        <w:t>handicapées (membre de Cl</w:t>
      </w:r>
      <w:r w:rsidR="003F0721">
        <w:rPr>
          <w:sz w:val="22"/>
          <w:szCs w:val="22"/>
        </w:rPr>
        <w:t>é</w:t>
      </w:r>
      <w:r w:rsidRPr="003F0721">
        <w:rPr>
          <w:sz w:val="22"/>
          <w:szCs w:val="22"/>
        </w:rPr>
        <w:t xml:space="preserve"> Autistes et du conseil </w:t>
      </w:r>
      <w:r w:rsidRPr="003F0721">
        <w:rPr>
          <w:sz w:val="22"/>
          <w:szCs w:val="22"/>
        </w:rPr>
        <w:t>d</w:t>
      </w:r>
      <w:r w:rsidRPr="003F0721">
        <w:rPr>
          <w:sz w:val="22"/>
          <w:szCs w:val="22"/>
        </w:rPr>
        <w:t xml:space="preserve">'administration du ré ENIL). Il a </w:t>
      </w:r>
      <w:r w:rsidRPr="003F0721">
        <w:rPr>
          <w:sz w:val="22"/>
          <w:szCs w:val="22"/>
        </w:rPr>
        <w:t>été</w:t>
      </w:r>
      <w:r w:rsidRPr="003F0721">
        <w:rPr>
          <w:sz w:val="22"/>
          <w:szCs w:val="22"/>
        </w:rPr>
        <w:t xml:space="preserve"> l'orateur du discours inaugural de la 14e </w:t>
      </w:r>
      <w:r w:rsidRPr="003F0721">
        <w:rPr>
          <w:sz w:val="22"/>
          <w:szCs w:val="22"/>
        </w:rPr>
        <w:t>université</w:t>
      </w:r>
      <w:r w:rsidRPr="003F0721">
        <w:rPr>
          <w:sz w:val="22"/>
          <w:szCs w:val="22"/>
        </w:rPr>
        <w:t xml:space="preserve"> d'</w:t>
      </w:r>
      <w:r w:rsidRPr="003F0721">
        <w:rPr>
          <w:sz w:val="22"/>
          <w:szCs w:val="22"/>
        </w:rPr>
        <w:t>été</w:t>
      </w:r>
      <w:r w:rsidRPr="003F0721">
        <w:rPr>
          <w:sz w:val="22"/>
          <w:szCs w:val="22"/>
        </w:rPr>
        <w:t xml:space="preserve"> Law and Policy de l'</w:t>
      </w:r>
      <w:r w:rsidRPr="003F0721">
        <w:rPr>
          <w:sz w:val="22"/>
          <w:szCs w:val="22"/>
        </w:rPr>
        <w:t>université</w:t>
      </w:r>
      <w:r w:rsidRPr="003F0721">
        <w:rPr>
          <w:sz w:val="22"/>
          <w:szCs w:val="22"/>
        </w:rPr>
        <w:t xml:space="preserve"> de Galway en juin 2023. </w:t>
      </w:r>
    </w:p>
    <w:p w:rsidR="005F02B4" w:rsidRPr="003F0721" w:rsidRDefault="005F02B4" w:rsidP="005F02B4">
      <w:pPr>
        <w:pStyle w:val="NormalWeb"/>
        <w:shd w:val="clear" w:color="auto" w:fill="FFFFFF"/>
        <w:rPr>
          <w:sz w:val="22"/>
          <w:szCs w:val="22"/>
        </w:rPr>
      </w:pPr>
      <w:r w:rsidRPr="003F0721">
        <w:rPr>
          <w:rFonts w:cs="Arial"/>
          <w:b/>
          <w:bCs/>
          <w:sz w:val="22"/>
          <w:szCs w:val="22"/>
        </w:rPr>
        <w:t>Juliette S</w:t>
      </w:r>
      <w:r w:rsidRPr="003F0721">
        <w:rPr>
          <w:rFonts w:cs="Arial"/>
          <w:b/>
          <w:bCs/>
          <w:sz w:val="22"/>
          <w:szCs w:val="22"/>
        </w:rPr>
        <w:t>PERANZA</w:t>
      </w:r>
      <w:r w:rsidRPr="003F0721">
        <w:rPr>
          <w:rFonts w:cs="Arial"/>
          <w:b/>
          <w:bCs/>
          <w:sz w:val="22"/>
          <w:szCs w:val="22"/>
        </w:rPr>
        <w:t xml:space="preserve"> </w:t>
      </w:r>
      <w:r w:rsidRPr="003F0721">
        <w:rPr>
          <w:sz w:val="22"/>
          <w:szCs w:val="22"/>
        </w:rPr>
        <w:t>est enseignante-chercheuse en philosophie à l’INSEI (</w:t>
      </w:r>
      <w:r w:rsidRPr="003F0721">
        <w:rPr>
          <w:sz w:val="22"/>
          <w:szCs w:val="22"/>
        </w:rPr>
        <w:t>Institut supérieur</w:t>
      </w:r>
      <w:r w:rsidRPr="003F0721">
        <w:rPr>
          <w:sz w:val="22"/>
          <w:szCs w:val="22"/>
        </w:rPr>
        <w:t xml:space="preserve"> d’enseignement et de recherche pour l’</w:t>
      </w:r>
      <w:r w:rsidRPr="003F0721">
        <w:rPr>
          <w:sz w:val="22"/>
          <w:szCs w:val="22"/>
        </w:rPr>
        <w:t>éducation</w:t>
      </w:r>
      <w:r w:rsidRPr="003F0721">
        <w:rPr>
          <w:sz w:val="22"/>
          <w:szCs w:val="22"/>
        </w:rPr>
        <w:t xml:space="preserve"> inclusive) et membre du Laboratoire Interdisciplinaire de Recherches « </w:t>
      </w:r>
      <w:r w:rsidRPr="003F0721">
        <w:rPr>
          <w:sz w:val="22"/>
          <w:szCs w:val="22"/>
        </w:rPr>
        <w:t>Sociétés</w:t>
      </w:r>
      <w:r w:rsidRPr="003F0721">
        <w:rPr>
          <w:sz w:val="22"/>
          <w:szCs w:val="22"/>
        </w:rPr>
        <w:t xml:space="preserve">, </w:t>
      </w:r>
      <w:r w:rsidRPr="003F0721">
        <w:rPr>
          <w:sz w:val="22"/>
          <w:szCs w:val="22"/>
        </w:rPr>
        <w:t>Sensibilités</w:t>
      </w:r>
      <w:r w:rsidRPr="003F0721">
        <w:rPr>
          <w:sz w:val="22"/>
          <w:szCs w:val="22"/>
        </w:rPr>
        <w:t>, Soin » rattaché à l’</w:t>
      </w:r>
      <w:r w:rsidRPr="003F0721">
        <w:rPr>
          <w:sz w:val="22"/>
          <w:szCs w:val="22"/>
        </w:rPr>
        <w:t>Université</w:t>
      </w:r>
      <w:r w:rsidR="003F0721">
        <w:rPr>
          <w:sz w:val="22"/>
          <w:szCs w:val="22"/>
        </w:rPr>
        <w:t> »</w:t>
      </w:r>
      <w:r w:rsidRPr="003F0721">
        <w:rPr>
          <w:sz w:val="22"/>
          <w:szCs w:val="22"/>
        </w:rPr>
        <w:t xml:space="preserve"> de Bourgogne et au CNRS. Ses travaux portent sur l’</w:t>
      </w:r>
      <w:r w:rsidRPr="003F0721">
        <w:rPr>
          <w:sz w:val="22"/>
          <w:szCs w:val="22"/>
        </w:rPr>
        <w:t>éthique, le handicap, la neurodiversité</w:t>
      </w:r>
      <w:r w:rsidRPr="003F0721">
        <w:rPr>
          <w:sz w:val="22"/>
          <w:szCs w:val="22"/>
        </w:rPr>
        <w:t>, l’</w:t>
      </w:r>
      <w:r w:rsidRPr="003F0721">
        <w:rPr>
          <w:sz w:val="22"/>
          <w:szCs w:val="22"/>
        </w:rPr>
        <w:t>autodétermination</w:t>
      </w:r>
      <w:r w:rsidRPr="003F0721">
        <w:rPr>
          <w:sz w:val="22"/>
          <w:szCs w:val="22"/>
        </w:rPr>
        <w:t xml:space="preserve"> et le fait minoritaire. </w:t>
      </w:r>
    </w:p>
    <w:p w:rsidR="005F02B4" w:rsidRPr="003F0721" w:rsidRDefault="005F02B4" w:rsidP="005F02B4">
      <w:pPr>
        <w:pStyle w:val="Pardfaut"/>
        <w:spacing w:before="0" w:line="240" w:lineRule="auto"/>
        <w:rPr>
          <w:rStyle w:val="Aucun"/>
          <w:rFonts w:eastAsia="Helvetica" w:cs="Helvetica"/>
          <w:b/>
          <w:bCs/>
          <w:sz w:val="22"/>
          <w:szCs w:val="22"/>
        </w:rPr>
      </w:pPr>
      <w:r w:rsidRPr="003F0721">
        <w:rPr>
          <w:rStyle w:val="Aucun"/>
          <w:b/>
          <w:bCs/>
          <w:sz w:val="22"/>
          <w:szCs w:val="22"/>
        </w:rPr>
        <w:t>Le rôle des personnes concernées dans l’empouvoirement académique  </w:t>
      </w:r>
    </w:p>
    <w:p w:rsidR="005F02B4" w:rsidRPr="003F0721" w:rsidRDefault="005F02B4" w:rsidP="005F02B4">
      <w:pPr>
        <w:pStyle w:val="Pardfaut"/>
        <w:spacing w:before="0" w:line="240" w:lineRule="auto"/>
        <w:rPr>
          <w:rStyle w:val="Aucun"/>
          <w:rFonts w:eastAsia="Helvetica" w:cs="Helvetica"/>
          <w:sz w:val="22"/>
          <w:szCs w:val="22"/>
        </w:rPr>
      </w:pPr>
    </w:p>
    <w:p w:rsidR="005F02B4" w:rsidRPr="003F0721" w:rsidRDefault="005F02B4" w:rsidP="005F02B4">
      <w:pPr>
        <w:pStyle w:val="Corps"/>
        <w:jc w:val="both"/>
      </w:pPr>
      <w:r w:rsidRPr="003F0721">
        <w:t xml:space="preserve">Rescapés d’un système scolaire ségrégatif, et d’une orientation subie assujettie à une politique éducative </w:t>
      </w:r>
      <w:proofErr w:type="spellStart"/>
      <w:r w:rsidRPr="003F0721">
        <w:t>a</w:t>
      </w:r>
      <w:r w:rsidR="00A06F17">
        <w:t>dé</w:t>
      </w:r>
      <w:r w:rsidRPr="003F0721">
        <w:t>quationniste</w:t>
      </w:r>
      <w:proofErr w:type="spellEnd"/>
      <w:r w:rsidRPr="003F0721">
        <w:t xml:space="preserve"> et élitiste, les étudiants déclarés en situation de handicap représentent quelques 2 % de la population estudiantine.  Si comme au Royaume-Uni, où le handicap reste « majoritairement </w:t>
      </w:r>
      <w:proofErr w:type="spellStart"/>
      <w:r w:rsidRPr="003F0721">
        <w:t>ap</w:t>
      </w:r>
      <w:r w:rsidR="00A06F17">
        <w:t>pré</w:t>
      </w:r>
      <w:r w:rsidRPr="003F0721">
        <w:rPr>
          <w:lang w:val="de-DE"/>
        </w:rPr>
        <w:t>hen</w:t>
      </w:r>
      <w:r w:rsidR="00A06F17">
        <w:rPr>
          <w:lang w:val="de-DE"/>
        </w:rPr>
        <w:t>dé</w:t>
      </w:r>
      <w:proofErr w:type="spellEnd"/>
      <w:r w:rsidRPr="003F0721">
        <w:t xml:space="preserve"> à travers des approches médicalisées » dans l’enseignement supérieur (Brown, </w:t>
      </w:r>
      <w:proofErr w:type="spellStart"/>
      <w:r w:rsidRPr="003F0721">
        <w:t>Ramlackhan</w:t>
      </w:r>
      <w:proofErr w:type="spellEnd"/>
      <w:r w:rsidRPr="003F0721">
        <w:t xml:space="preserve">), les normes universitaires françaises, sous-tendues par un certain nombre de valeurs et la sacralisation de l’institution, peinent à s’adapter à la diversité. </w:t>
      </w:r>
    </w:p>
    <w:p w:rsidR="005F02B4" w:rsidRPr="003F0721" w:rsidRDefault="005F02B4" w:rsidP="005F02B4">
      <w:pPr>
        <w:pStyle w:val="Corps"/>
        <w:jc w:val="both"/>
      </w:pPr>
    </w:p>
    <w:p w:rsidR="005F02B4" w:rsidRPr="003F0721" w:rsidRDefault="005F02B4" w:rsidP="005F02B4">
      <w:pPr>
        <w:pStyle w:val="Corps"/>
        <w:jc w:val="both"/>
      </w:pPr>
      <w:r w:rsidRPr="003F0721">
        <w:t>Si l’autodétermination des personnes en situation de handicap est régulièrement citée en objectif des politiques inclusives, il appert que le cadre universitaire, par les rites et les codes qu’il perpétue, la langue académique, ses modalités d’enseignement, d’évaluation, son accessibilité en termes de bâtis, de temporali</w:t>
      </w:r>
      <w:r w:rsidR="00A06F17">
        <w:t>té</w:t>
      </w:r>
      <w:r w:rsidRPr="003F0721">
        <w:t xml:space="preserve">, de communication, est peu propice à l’émergence d’un enseignement égalitaire et adapté à la diversité humaine. </w:t>
      </w:r>
    </w:p>
    <w:p w:rsidR="005F02B4" w:rsidRPr="003F0721" w:rsidRDefault="005F02B4" w:rsidP="005F02B4">
      <w:pPr>
        <w:pStyle w:val="Corps"/>
        <w:jc w:val="both"/>
      </w:pPr>
    </w:p>
    <w:p w:rsidR="005F02B4" w:rsidRPr="005F02B4" w:rsidRDefault="005F02B4" w:rsidP="005F02B4">
      <w:pPr>
        <w:pStyle w:val="Corps"/>
        <w:jc w:val="both"/>
      </w:pPr>
      <w:r w:rsidRPr="005F02B4">
        <w:t>Par autodétermination, nous entendons la manière dont l’individu se constitue comme « agent causal » (</w:t>
      </w:r>
      <w:proofErr w:type="spellStart"/>
      <w:r w:rsidRPr="005F02B4">
        <w:t>Shogren</w:t>
      </w:r>
      <w:proofErr w:type="spellEnd"/>
      <w:r w:rsidRPr="005F02B4">
        <w:t xml:space="preserve"> et al.) de sa vie en poursuivant des objectifs librement choisis. Si pour toute existence humaine, l’autodétermination constitue un horizon bien plus qu’une réalité, la condition minoritaire, en l’occurrence la condition handicapée impacte lourdement cette disposition. </w:t>
      </w:r>
    </w:p>
    <w:p w:rsidR="005F02B4" w:rsidRPr="005F02B4" w:rsidRDefault="005F02B4" w:rsidP="005F02B4">
      <w:pPr>
        <w:pStyle w:val="Corps"/>
        <w:jc w:val="both"/>
      </w:pPr>
    </w:p>
    <w:p w:rsidR="005F02B4" w:rsidRPr="005F02B4" w:rsidRDefault="005F02B4" w:rsidP="005F02B4">
      <w:pPr>
        <w:pStyle w:val="Corps"/>
        <w:jc w:val="both"/>
      </w:pPr>
      <w:r w:rsidRPr="005F02B4">
        <w:t xml:space="preserve">À partir des années 1970, les </w:t>
      </w:r>
      <w:proofErr w:type="spellStart"/>
      <w:r w:rsidRPr="009D73B4">
        <w:rPr>
          <w:i/>
          <w:iCs/>
        </w:rPr>
        <w:t>Disability</w:t>
      </w:r>
      <w:proofErr w:type="spellEnd"/>
      <w:r w:rsidRPr="009D73B4">
        <w:rPr>
          <w:i/>
          <w:iCs/>
        </w:rPr>
        <w:t xml:space="preserve"> </w:t>
      </w:r>
      <w:proofErr w:type="spellStart"/>
      <w:r w:rsidRPr="009D73B4">
        <w:rPr>
          <w:i/>
          <w:iCs/>
        </w:rPr>
        <w:t>studies</w:t>
      </w:r>
      <w:proofErr w:type="spellEnd"/>
      <w:r w:rsidRPr="005F02B4">
        <w:t xml:space="preserve"> ont permis de penser l’aspect contextuel et environnemental de cette condition. De cette manière, elles ont contribué à faire émerger de nouveaux savoirs, questionnant ainsi les savoirs hégémoniques, et à penser les rapports de pouvoir qui s’opposent à l’empouvoirement académique. Ces champs disciplinaires ont révélé la nécessité de substituer à l’objectivité académique supposée des savoirs pluriels, portés par des personnes concernées. La puissance des normes universitaires est telle que ces champs disciplinaires seuls sont en mesure de questionner leur sacralisation en constituant des savoirs alternatifs légitimes. Une conception </w:t>
      </w:r>
      <w:r w:rsidRPr="005F02B4">
        <w:lastRenderedPageBreak/>
        <w:t>« universelle » des apprentissages peut-elle être envisagée sans repenser l’universel à l’aune des expériences minoritaires ?</w:t>
      </w:r>
    </w:p>
    <w:p w:rsidR="005F02B4" w:rsidRPr="005F02B4" w:rsidRDefault="005F02B4" w:rsidP="005F02B4">
      <w:pPr>
        <w:pStyle w:val="Corps"/>
        <w:jc w:val="both"/>
      </w:pPr>
    </w:p>
    <w:p w:rsidR="005F02B4" w:rsidRPr="005F02B4" w:rsidRDefault="005F02B4" w:rsidP="005F02B4">
      <w:pPr>
        <w:pStyle w:val="Corps"/>
        <w:jc w:val="both"/>
        <w:rPr>
          <w:rStyle w:val="Aucun"/>
        </w:rPr>
      </w:pPr>
      <w:r w:rsidRPr="005F02B4">
        <w:t xml:space="preserve">Peu valorisés en France, remis en question Outre-Atlantique, les savoirs minoritaires doivent contribuer, par leur forme et leur contenu à faire coïncider les pratiques universitaires et l’empouvoirement académique. Étayée par des recherches et par des savoirs expérientiels, cette contribution visera à interroger les normes de l’enseignement supérieur et le rôle que peuvent et doivent jouer les personnes concernées dans la constitution d’une institution adaptée à la diversité humaine. </w:t>
      </w:r>
    </w:p>
    <w:p w:rsidR="005F02B4" w:rsidRDefault="005F02B4" w:rsidP="005F02B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204"/>
        </w:tabs>
        <w:spacing w:before="0" w:line="240" w:lineRule="auto"/>
        <w:jc w:val="both"/>
        <w:rPr>
          <w:rStyle w:val="Aucun"/>
          <w:rFonts w:eastAsia="Arial" w:cs="Arial"/>
          <w:sz w:val="22"/>
          <w:szCs w:val="22"/>
          <w:u w:color="000000"/>
          <w14:textOutline w14:w="12700" w14:cap="flat" w14:cmpd="sng" w14:algn="ctr">
            <w14:noFill/>
            <w14:prstDash w14:val="solid"/>
            <w14:miter w14:lim="400000"/>
          </w14:textOutline>
        </w:rPr>
      </w:pPr>
    </w:p>
    <w:p w:rsidR="00E90641" w:rsidRPr="005F02B4" w:rsidRDefault="00E90641" w:rsidP="005F02B4">
      <w:pPr>
        <w:pStyle w:val="Pardfaut"/>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 w:val="left" w:pos="9204"/>
        </w:tabs>
        <w:spacing w:before="0" w:line="240" w:lineRule="auto"/>
        <w:jc w:val="both"/>
        <w:rPr>
          <w:rStyle w:val="Aucun"/>
          <w:rFonts w:eastAsia="Arial" w:cs="Arial"/>
          <w:sz w:val="22"/>
          <w:szCs w:val="22"/>
          <w:u w:color="000000"/>
          <w14:textOutline w14:w="12700" w14:cap="flat" w14:cmpd="sng" w14:algn="ctr">
            <w14:noFill/>
            <w14:prstDash w14:val="solid"/>
            <w14:miter w14:lim="400000"/>
          </w14:textOutline>
        </w:rPr>
      </w:pPr>
    </w:p>
    <w:p w:rsidR="009D73B4" w:rsidRPr="009D73B4" w:rsidRDefault="009D73B4" w:rsidP="009D73B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b/>
          <w:bCs/>
          <w:color w:val="0070C0"/>
        </w:rPr>
      </w:pPr>
      <w:r w:rsidRPr="009D73B4">
        <w:rPr>
          <w:b/>
          <w:bCs/>
          <w:color w:val="0070C0"/>
        </w:rPr>
        <w:t>Christelle Lison</w:t>
      </w:r>
    </w:p>
    <w:p w:rsidR="009D73B4" w:rsidRPr="009D73B4" w:rsidRDefault="009D73B4" w:rsidP="009D73B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color w:val="0070C0"/>
        </w:rPr>
      </w:pPr>
      <w:r w:rsidRPr="009D73B4">
        <w:rPr>
          <w:color w:val="0070C0"/>
        </w:rPr>
        <w:t xml:space="preserve">Et si l’inclusion se construisait un choix </w:t>
      </w:r>
      <w:proofErr w:type="spellStart"/>
      <w:r w:rsidRPr="009D73B4">
        <w:rPr>
          <w:color w:val="0070C0"/>
        </w:rPr>
        <w:t>pédagonumérique</w:t>
      </w:r>
      <w:proofErr w:type="spellEnd"/>
      <w:r w:rsidRPr="009D73B4">
        <w:rPr>
          <w:color w:val="0070C0"/>
        </w:rPr>
        <w:t xml:space="preserve"> à la fois</w:t>
      </w:r>
      <w:r w:rsidRPr="009D73B4">
        <w:rPr>
          <w:color w:val="0070C0"/>
        </w:rPr>
        <w:t> ?</w:t>
      </w:r>
    </w:p>
    <w:p w:rsidR="009D73B4" w:rsidRDefault="009D73B4" w:rsidP="009D73B4">
      <w:pPr>
        <w:pStyle w:val="NormalWeb"/>
        <w:shd w:val="clear" w:color="auto" w:fill="FFFFFF"/>
        <w:rPr>
          <w:sz w:val="22"/>
          <w:szCs w:val="22"/>
        </w:rPr>
      </w:pPr>
      <w:r w:rsidRPr="009D73B4">
        <w:rPr>
          <w:b/>
          <w:bCs/>
          <w:sz w:val="22"/>
          <w:szCs w:val="22"/>
        </w:rPr>
        <w:t>Christelle L</w:t>
      </w:r>
      <w:r w:rsidRPr="009D73B4">
        <w:rPr>
          <w:b/>
          <w:bCs/>
          <w:sz w:val="22"/>
          <w:szCs w:val="22"/>
        </w:rPr>
        <w:t xml:space="preserve">ISON </w:t>
      </w:r>
      <w:r w:rsidRPr="009D73B4">
        <w:rPr>
          <w:sz w:val="22"/>
          <w:szCs w:val="22"/>
        </w:rPr>
        <w:t xml:space="preserve">est professeure titulaire au </w:t>
      </w:r>
      <w:r w:rsidR="00785D2B" w:rsidRPr="009D73B4">
        <w:rPr>
          <w:sz w:val="22"/>
          <w:szCs w:val="22"/>
        </w:rPr>
        <w:t>Département</w:t>
      </w:r>
      <w:r w:rsidRPr="009D73B4">
        <w:rPr>
          <w:sz w:val="22"/>
          <w:szCs w:val="22"/>
        </w:rPr>
        <w:t xml:space="preserve"> de </w:t>
      </w:r>
      <w:r w:rsidR="00785D2B" w:rsidRPr="009D73B4">
        <w:rPr>
          <w:sz w:val="22"/>
          <w:szCs w:val="22"/>
        </w:rPr>
        <w:t>pédagogie</w:t>
      </w:r>
      <w:r w:rsidRPr="009D73B4">
        <w:rPr>
          <w:sz w:val="22"/>
          <w:szCs w:val="22"/>
        </w:rPr>
        <w:t xml:space="preserve"> de la </w:t>
      </w:r>
      <w:r w:rsidR="00785D2B" w:rsidRPr="009D73B4">
        <w:rPr>
          <w:sz w:val="22"/>
          <w:szCs w:val="22"/>
        </w:rPr>
        <w:t>Faculté</w:t>
      </w:r>
      <w:r w:rsidRPr="009D73B4">
        <w:rPr>
          <w:sz w:val="22"/>
          <w:szCs w:val="22"/>
        </w:rPr>
        <w:t xml:space="preserve"> d’</w:t>
      </w:r>
      <w:r w:rsidR="00785D2B" w:rsidRPr="009D73B4">
        <w:rPr>
          <w:sz w:val="22"/>
          <w:szCs w:val="22"/>
        </w:rPr>
        <w:t>éducation</w:t>
      </w:r>
      <w:r w:rsidRPr="009D73B4">
        <w:rPr>
          <w:sz w:val="22"/>
          <w:szCs w:val="22"/>
        </w:rPr>
        <w:t xml:space="preserve"> de l’</w:t>
      </w:r>
      <w:r w:rsidR="00785D2B" w:rsidRPr="009D73B4">
        <w:rPr>
          <w:sz w:val="22"/>
          <w:szCs w:val="22"/>
        </w:rPr>
        <w:t>Université</w:t>
      </w:r>
      <w:r w:rsidRPr="009D73B4">
        <w:rPr>
          <w:sz w:val="22"/>
          <w:szCs w:val="22"/>
        </w:rPr>
        <w:t xml:space="preserve"> de Sherbrooke (</w:t>
      </w:r>
      <w:r w:rsidR="00785D2B" w:rsidRPr="009D73B4">
        <w:rPr>
          <w:sz w:val="22"/>
          <w:szCs w:val="22"/>
        </w:rPr>
        <w:t>Québec</w:t>
      </w:r>
      <w:r w:rsidRPr="009D73B4">
        <w:rPr>
          <w:sz w:val="22"/>
          <w:szCs w:val="22"/>
        </w:rPr>
        <w:t xml:space="preserve">, Canada). </w:t>
      </w:r>
      <w:r w:rsidR="00785D2B" w:rsidRPr="009D73B4">
        <w:rPr>
          <w:sz w:val="22"/>
          <w:szCs w:val="22"/>
        </w:rPr>
        <w:t>Spécialisée</w:t>
      </w:r>
      <w:r w:rsidRPr="009D73B4">
        <w:rPr>
          <w:sz w:val="22"/>
          <w:szCs w:val="22"/>
        </w:rPr>
        <w:t xml:space="preserve"> en enseignement </w:t>
      </w:r>
      <w:r w:rsidR="00785D2B" w:rsidRPr="009D73B4">
        <w:rPr>
          <w:sz w:val="22"/>
          <w:szCs w:val="22"/>
        </w:rPr>
        <w:t>supérieur</w:t>
      </w:r>
      <w:r w:rsidRPr="009D73B4">
        <w:rPr>
          <w:sz w:val="22"/>
          <w:szCs w:val="22"/>
        </w:rPr>
        <w:t>, elle s’</w:t>
      </w:r>
      <w:r w:rsidR="00785D2B" w:rsidRPr="009D73B4">
        <w:rPr>
          <w:sz w:val="22"/>
          <w:szCs w:val="22"/>
        </w:rPr>
        <w:t>intéresse</w:t>
      </w:r>
      <w:r w:rsidRPr="009D73B4">
        <w:rPr>
          <w:sz w:val="22"/>
          <w:szCs w:val="22"/>
        </w:rPr>
        <w:t xml:space="preserve"> à la formation des personnels </w:t>
      </w:r>
      <w:r w:rsidR="00785D2B" w:rsidRPr="009D73B4">
        <w:rPr>
          <w:sz w:val="22"/>
          <w:szCs w:val="22"/>
        </w:rPr>
        <w:t>pédagogiques</w:t>
      </w:r>
      <w:r w:rsidRPr="009D73B4">
        <w:rPr>
          <w:sz w:val="22"/>
          <w:szCs w:val="22"/>
        </w:rPr>
        <w:t xml:space="preserve"> du postsecondaire et à leur </w:t>
      </w:r>
      <w:r w:rsidR="00785D2B" w:rsidRPr="009D73B4">
        <w:rPr>
          <w:sz w:val="22"/>
          <w:szCs w:val="22"/>
        </w:rPr>
        <w:t>développement</w:t>
      </w:r>
      <w:r w:rsidRPr="009D73B4">
        <w:rPr>
          <w:sz w:val="22"/>
          <w:szCs w:val="22"/>
        </w:rPr>
        <w:t xml:space="preserve"> professionnel et aux innovations </w:t>
      </w:r>
      <w:proofErr w:type="spellStart"/>
      <w:r w:rsidRPr="009D73B4">
        <w:rPr>
          <w:sz w:val="22"/>
          <w:szCs w:val="22"/>
        </w:rPr>
        <w:t>p</w:t>
      </w:r>
      <w:r w:rsidR="00785D2B">
        <w:rPr>
          <w:sz w:val="22"/>
          <w:szCs w:val="22"/>
        </w:rPr>
        <w:t>é</w:t>
      </w:r>
      <w:r w:rsidRPr="009D73B4">
        <w:rPr>
          <w:sz w:val="22"/>
          <w:szCs w:val="22"/>
        </w:rPr>
        <w:t>dagonum</w:t>
      </w:r>
      <w:r w:rsidR="00785D2B">
        <w:rPr>
          <w:sz w:val="22"/>
          <w:szCs w:val="22"/>
        </w:rPr>
        <w:t>é</w:t>
      </w:r>
      <w:r w:rsidRPr="009D73B4">
        <w:rPr>
          <w:sz w:val="22"/>
          <w:szCs w:val="22"/>
        </w:rPr>
        <w:t>riques</w:t>
      </w:r>
      <w:proofErr w:type="spellEnd"/>
      <w:r w:rsidRPr="009D73B4">
        <w:rPr>
          <w:sz w:val="22"/>
          <w:szCs w:val="22"/>
        </w:rPr>
        <w:t>. Tr</w:t>
      </w:r>
      <w:r w:rsidR="00785D2B">
        <w:rPr>
          <w:sz w:val="22"/>
          <w:szCs w:val="22"/>
        </w:rPr>
        <w:t>è</w:t>
      </w:r>
      <w:r w:rsidRPr="009D73B4">
        <w:rPr>
          <w:sz w:val="22"/>
          <w:szCs w:val="22"/>
        </w:rPr>
        <w:t xml:space="preserve">s </w:t>
      </w:r>
      <w:r w:rsidR="00785D2B" w:rsidRPr="009D73B4">
        <w:rPr>
          <w:sz w:val="22"/>
          <w:szCs w:val="22"/>
        </w:rPr>
        <w:t>impliquée</w:t>
      </w:r>
      <w:r w:rsidRPr="009D73B4">
        <w:rPr>
          <w:sz w:val="22"/>
          <w:szCs w:val="22"/>
        </w:rPr>
        <w:t xml:space="preserve"> dans la </w:t>
      </w:r>
      <w:r w:rsidR="00785D2B" w:rsidRPr="009D73B4">
        <w:rPr>
          <w:sz w:val="22"/>
          <w:szCs w:val="22"/>
        </w:rPr>
        <w:t>communauté</w:t>
      </w:r>
      <w:r w:rsidRPr="009D73B4">
        <w:rPr>
          <w:sz w:val="22"/>
          <w:szCs w:val="22"/>
        </w:rPr>
        <w:t xml:space="preserve"> scientifique, Christelle Lison est actuellement </w:t>
      </w:r>
      <w:r w:rsidR="00785D2B" w:rsidRPr="009D73B4">
        <w:rPr>
          <w:sz w:val="22"/>
          <w:szCs w:val="22"/>
        </w:rPr>
        <w:t>présidente</w:t>
      </w:r>
      <w:r w:rsidRPr="009D73B4">
        <w:rPr>
          <w:sz w:val="22"/>
          <w:szCs w:val="22"/>
        </w:rPr>
        <w:t xml:space="preserve"> de l’Association internationale de </w:t>
      </w:r>
      <w:r w:rsidR="00785D2B" w:rsidRPr="009D73B4">
        <w:rPr>
          <w:sz w:val="22"/>
          <w:szCs w:val="22"/>
        </w:rPr>
        <w:t>pédagogie</w:t>
      </w:r>
      <w:r w:rsidRPr="009D73B4">
        <w:rPr>
          <w:sz w:val="22"/>
          <w:szCs w:val="22"/>
        </w:rPr>
        <w:t xml:space="preserve"> universitaire, </w:t>
      </w:r>
      <w:r w:rsidR="00785D2B" w:rsidRPr="009D73B4">
        <w:rPr>
          <w:sz w:val="22"/>
          <w:szCs w:val="22"/>
        </w:rPr>
        <w:t>rédactrice</w:t>
      </w:r>
      <w:r w:rsidRPr="009D73B4">
        <w:rPr>
          <w:sz w:val="22"/>
          <w:szCs w:val="22"/>
        </w:rPr>
        <w:t xml:space="preserve"> en chef de la Revue internationale de </w:t>
      </w:r>
      <w:r w:rsidR="00785D2B" w:rsidRPr="009D73B4">
        <w:rPr>
          <w:sz w:val="22"/>
          <w:szCs w:val="22"/>
        </w:rPr>
        <w:t>pédagogie</w:t>
      </w:r>
      <w:r w:rsidRPr="009D73B4">
        <w:rPr>
          <w:sz w:val="22"/>
          <w:szCs w:val="22"/>
        </w:rPr>
        <w:t xml:space="preserve"> de l’enseignement </w:t>
      </w:r>
      <w:r w:rsidR="00785D2B" w:rsidRPr="009D73B4">
        <w:rPr>
          <w:sz w:val="22"/>
          <w:szCs w:val="22"/>
        </w:rPr>
        <w:t>supérieur</w:t>
      </w:r>
      <w:r w:rsidRPr="009D73B4">
        <w:rPr>
          <w:sz w:val="22"/>
          <w:szCs w:val="22"/>
        </w:rPr>
        <w:t xml:space="preserve"> et responsable du projet i-mersion CP : Au cœur de la </w:t>
      </w:r>
      <w:r w:rsidR="00785D2B" w:rsidRPr="009D73B4">
        <w:rPr>
          <w:sz w:val="22"/>
          <w:szCs w:val="22"/>
        </w:rPr>
        <w:t>compétence</w:t>
      </w:r>
      <w:r w:rsidRPr="009D73B4">
        <w:rPr>
          <w:sz w:val="22"/>
          <w:szCs w:val="22"/>
        </w:rPr>
        <w:t xml:space="preserve"> </w:t>
      </w:r>
      <w:r w:rsidR="00785D2B" w:rsidRPr="009D73B4">
        <w:rPr>
          <w:sz w:val="22"/>
          <w:szCs w:val="22"/>
        </w:rPr>
        <w:t>numérique</w:t>
      </w:r>
      <w:r w:rsidRPr="009D73B4">
        <w:rPr>
          <w:sz w:val="22"/>
          <w:szCs w:val="22"/>
        </w:rPr>
        <w:t xml:space="preserve">. </w:t>
      </w:r>
    </w:p>
    <w:p w:rsidR="009D73B4" w:rsidRPr="00785D2B" w:rsidRDefault="009D73B4" w:rsidP="009D73B4">
      <w:pPr>
        <w:pStyle w:val="NormalWeb"/>
        <w:shd w:val="clear" w:color="auto" w:fill="FFFFFF"/>
        <w:rPr>
          <w:b/>
          <w:bCs/>
          <w:sz w:val="22"/>
          <w:szCs w:val="22"/>
        </w:rPr>
      </w:pPr>
      <w:r w:rsidRPr="00785D2B">
        <w:rPr>
          <w:b/>
          <w:bCs/>
          <w:sz w:val="22"/>
          <w:szCs w:val="22"/>
        </w:rPr>
        <w:t xml:space="preserve">Et si l’inclusion se construisait un choix </w:t>
      </w:r>
      <w:proofErr w:type="spellStart"/>
      <w:r w:rsidRPr="00785D2B">
        <w:rPr>
          <w:b/>
          <w:bCs/>
          <w:sz w:val="22"/>
          <w:szCs w:val="22"/>
        </w:rPr>
        <w:t>p</w:t>
      </w:r>
      <w:r w:rsidR="00785D2B">
        <w:rPr>
          <w:b/>
          <w:bCs/>
          <w:sz w:val="22"/>
          <w:szCs w:val="22"/>
        </w:rPr>
        <w:t>é</w:t>
      </w:r>
      <w:r w:rsidRPr="00785D2B">
        <w:rPr>
          <w:b/>
          <w:bCs/>
          <w:sz w:val="22"/>
          <w:szCs w:val="22"/>
        </w:rPr>
        <w:t>dagonum</w:t>
      </w:r>
      <w:r w:rsidR="00785D2B">
        <w:rPr>
          <w:b/>
          <w:bCs/>
          <w:sz w:val="22"/>
          <w:szCs w:val="22"/>
        </w:rPr>
        <w:t>é</w:t>
      </w:r>
      <w:r w:rsidRPr="00785D2B">
        <w:rPr>
          <w:b/>
          <w:bCs/>
          <w:sz w:val="22"/>
          <w:szCs w:val="22"/>
        </w:rPr>
        <w:t>rique</w:t>
      </w:r>
      <w:proofErr w:type="spellEnd"/>
      <w:r w:rsidRPr="00785D2B">
        <w:rPr>
          <w:b/>
          <w:bCs/>
          <w:sz w:val="22"/>
          <w:szCs w:val="22"/>
        </w:rPr>
        <w:t xml:space="preserve"> à la fois</w:t>
      </w:r>
      <w:r w:rsidR="00A06F17">
        <w:rPr>
          <w:b/>
          <w:bCs/>
          <w:sz w:val="22"/>
          <w:szCs w:val="22"/>
        </w:rPr>
        <w:t> ?</w:t>
      </w:r>
    </w:p>
    <w:p w:rsidR="009D73B4" w:rsidRPr="00785D2B" w:rsidRDefault="00785D2B" w:rsidP="00785D2B">
      <w:pPr>
        <w:pStyle w:val="NormalWeb"/>
        <w:shd w:val="clear" w:color="auto" w:fill="FFFFFF"/>
        <w:spacing w:before="0" w:beforeAutospacing="0" w:after="0" w:afterAutospacing="0"/>
        <w:contextualSpacing/>
        <w:rPr>
          <w:sz w:val="22"/>
          <w:szCs w:val="22"/>
        </w:rPr>
      </w:pPr>
      <w:r w:rsidRPr="00785D2B">
        <w:rPr>
          <w:sz w:val="22"/>
          <w:szCs w:val="22"/>
        </w:rPr>
        <w:t>Considérant</w:t>
      </w:r>
      <w:r w:rsidR="009D73B4" w:rsidRPr="00785D2B">
        <w:rPr>
          <w:sz w:val="22"/>
          <w:szCs w:val="22"/>
        </w:rPr>
        <w:t xml:space="preserve"> que les milieux d’enseignement </w:t>
      </w:r>
      <w:r w:rsidRPr="00785D2B">
        <w:rPr>
          <w:sz w:val="22"/>
          <w:szCs w:val="22"/>
        </w:rPr>
        <w:t>supérieur</w:t>
      </w:r>
      <w:r w:rsidR="009D73B4" w:rsidRPr="00785D2B">
        <w:rPr>
          <w:sz w:val="22"/>
          <w:szCs w:val="22"/>
        </w:rPr>
        <w:t xml:space="preserve"> accueillent des groupes </w:t>
      </w:r>
      <w:r w:rsidRPr="00785D2B">
        <w:rPr>
          <w:sz w:val="22"/>
          <w:szCs w:val="22"/>
        </w:rPr>
        <w:t>étudiants</w:t>
      </w:r>
      <w:r w:rsidR="009D73B4" w:rsidRPr="00785D2B">
        <w:rPr>
          <w:sz w:val="22"/>
          <w:szCs w:val="22"/>
        </w:rPr>
        <w:t xml:space="preserve"> de plus en plus h</w:t>
      </w:r>
      <w:r>
        <w:rPr>
          <w:sz w:val="22"/>
          <w:szCs w:val="22"/>
        </w:rPr>
        <w:t>é</w:t>
      </w:r>
      <w:r w:rsidR="009D73B4" w:rsidRPr="00785D2B">
        <w:rPr>
          <w:sz w:val="22"/>
          <w:szCs w:val="22"/>
        </w:rPr>
        <w:t>t</w:t>
      </w:r>
      <w:r>
        <w:rPr>
          <w:sz w:val="22"/>
          <w:szCs w:val="22"/>
        </w:rPr>
        <w:t>é</w:t>
      </w:r>
      <w:r w:rsidR="009D73B4" w:rsidRPr="00785D2B">
        <w:rPr>
          <w:sz w:val="22"/>
          <w:szCs w:val="22"/>
        </w:rPr>
        <w:t>rog</w:t>
      </w:r>
      <w:r>
        <w:rPr>
          <w:sz w:val="22"/>
          <w:szCs w:val="22"/>
        </w:rPr>
        <w:t>è</w:t>
      </w:r>
      <w:r w:rsidR="009D73B4" w:rsidRPr="00785D2B">
        <w:rPr>
          <w:sz w:val="22"/>
          <w:szCs w:val="22"/>
        </w:rPr>
        <w:t xml:space="preserve">nes, la question de mettre en place des pratiques </w:t>
      </w:r>
      <w:proofErr w:type="spellStart"/>
      <w:r w:rsidR="009D73B4" w:rsidRPr="00785D2B">
        <w:rPr>
          <w:sz w:val="22"/>
          <w:szCs w:val="22"/>
        </w:rPr>
        <w:t>p</w:t>
      </w:r>
      <w:r>
        <w:rPr>
          <w:sz w:val="22"/>
          <w:szCs w:val="22"/>
        </w:rPr>
        <w:t>é</w:t>
      </w:r>
      <w:r w:rsidR="009D73B4" w:rsidRPr="00785D2B">
        <w:rPr>
          <w:sz w:val="22"/>
          <w:szCs w:val="22"/>
        </w:rPr>
        <w:t>dagonum</w:t>
      </w:r>
      <w:r>
        <w:rPr>
          <w:sz w:val="22"/>
          <w:szCs w:val="22"/>
        </w:rPr>
        <w:t>é</w:t>
      </w:r>
      <w:r w:rsidR="009D73B4" w:rsidRPr="00785D2B">
        <w:rPr>
          <w:sz w:val="22"/>
          <w:szCs w:val="22"/>
        </w:rPr>
        <w:t>riques</w:t>
      </w:r>
      <w:proofErr w:type="spellEnd"/>
      <w:r w:rsidR="009D73B4" w:rsidRPr="00785D2B">
        <w:rPr>
          <w:sz w:val="22"/>
          <w:szCs w:val="22"/>
        </w:rPr>
        <w:t xml:space="preserve"> plus inclusives est plus que jamais au cœur de la </w:t>
      </w:r>
      <w:r w:rsidRPr="00785D2B">
        <w:rPr>
          <w:sz w:val="22"/>
          <w:szCs w:val="22"/>
        </w:rPr>
        <w:t>réflexion</w:t>
      </w:r>
      <w:r w:rsidR="009D73B4" w:rsidRPr="00785D2B">
        <w:rPr>
          <w:sz w:val="22"/>
          <w:szCs w:val="22"/>
        </w:rPr>
        <w:t xml:space="preserve">. Toutefois, force est de constater que cela semble plus facile </w:t>
      </w:r>
      <w:proofErr w:type="spellStart"/>
      <w:r w:rsidR="009D73B4" w:rsidRPr="00785D2B">
        <w:rPr>
          <w:sz w:val="22"/>
          <w:szCs w:val="22"/>
        </w:rPr>
        <w:t>a</w:t>
      </w:r>
      <w:proofErr w:type="spellEnd"/>
      <w:r w:rsidR="009D73B4" w:rsidRPr="00785D2B">
        <w:rPr>
          <w:sz w:val="22"/>
          <w:szCs w:val="22"/>
        </w:rPr>
        <w:t xml:space="preserve">̀ dire qu’à faire, </w:t>
      </w:r>
      <w:r w:rsidRPr="00785D2B">
        <w:rPr>
          <w:sz w:val="22"/>
          <w:szCs w:val="22"/>
        </w:rPr>
        <w:t>particulièrement</w:t>
      </w:r>
      <w:r w:rsidR="009D73B4" w:rsidRPr="00785D2B">
        <w:rPr>
          <w:sz w:val="22"/>
          <w:szCs w:val="22"/>
        </w:rPr>
        <w:t xml:space="preserve"> lorsque l’on souhaite </w:t>
      </w:r>
      <w:r w:rsidRPr="00785D2B">
        <w:rPr>
          <w:sz w:val="22"/>
          <w:szCs w:val="22"/>
        </w:rPr>
        <w:t>dépasser</w:t>
      </w:r>
      <w:r w:rsidR="009D73B4" w:rsidRPr="00785D2B">
        <w:rPr>
          <w:sz w:val="22"/>
          <w:szCs w:val="22"/>
        </w:rPr>
        <w:t xml:space="preserve"> les « simples » politiques institutionnelles. Faisant face </w:t>
      </w:r>
      <w:proofErr w:type="spellStart"/>
      <w:r w:rsidR="009D73B4" w:rsidRPr="00785D2B">
        <w:rPr>
          <w:sz w:val="22"/>
          <w:szCs w:val="22"/>
        </w:rPr>
        <w:t>a</w:t>
      </w:r>
      <w:proofErr w:type="spellEnd"/>
      <w:r w:rsidR="009D73B4" w:rsidRPr="00785D2B">
        <w:rPr>
          <w:sz w:val="22"/>
          <w:szCs w:val="22"/>
        </w:rPr>
        <w:t xml:space="preserve">̀ une </w:t>
      </w:r>
      <w:r w:rsidRPr="00785D2B">
        <w:rPr>
          <w:sz w:val="22"/>
          <w:szCs w:val="22"/>
        </w:rPr>
        <w:t>diversité</w:t>
      </w:r>
      <w:r>
        <w:rPr>
          <w:sz w:val="22"/>
          <w:szCs w:val="22"/>
        </w:rPr>
        <w:t xml:space="preserve"> </w:t>
      </w:r>
      <w:r w:rsidR="009D73B4" w:rsidRPr="00785D2B">
        <w:rPr>
          <w:sz w:val="22"/>
          <w:szCs w:val="22"/>
        </w:rPr>
        <w:t xml:space="preserve">croissante de personnes </w:t>
      </w:r>
      <w:r w:rsidRPr="00785D2B">
        <w:rPr>
          <w:sz w:val="22"/>
          <w:szCs w:val="22"/>
        </w:rPr>
        <w:t>étudiantes</w:t>
      </w:r>
      <w:r w:rsidR="009D73B4" w:rsidRPr="00785D2B">
        <w:rPr>
          <w:sz w:val="22"/>
          <w:szCs w:val="22"/>
        </w:rPr>
        <w:t>, j’ai choisi de revoi</w:t>
      </w:r>
      <w:r>
        <w:rPr>
          <w:sz w:val="22"/>
          <w:szCs w:val="22"/>
        </w:rPr>
        <w:t xml:space="preserve">r </w:t>
      </w:r>
      <w:r w:rsidR="009D73B4" w:rsidRPr="00785D2B">
        <w:rPr>
          <w:sz w:val="22"/>
          <w:szCs w:val="22"/>
        </w:rPr>
        <w:t>en profondeur l’un des cours que je donne dans le cadre d’une formation de 3</w:t>
      </w:r>
      <w:r w:rsidR="009D73B4" w:rsidRPr="00785D2B">
        <w:rPr>
          <w:position w:val="8"/>
          <w:sz w:val="22"/>
          <w:szCs w:val="22"/>
        </w:rPr>
        <w:t xml:space="preserve">e </w:t>
      </w:r>
      <w:r w:rsidR="009D73B4" w:rsidRPr="00785D2B">
        <w:rPr>
          <w:sz w:val="22"/>
          <w:szCs w:val="22"/>
        </w:rPr>
        <w:t xml:space="preserve">cycle. Celle-ci est </w:t>
      </w:r>
      <w:r w:rsidRPr="00785D2B">
        <w:rPr>
          <w:sz w:val="22"/>
          <w:szCs w:val="22"/>
        </w:rPr>
        <w:t>destinée</w:t>
      </w:r>
      <w:r w:rsidR="009D73B4" w:rsidRPr="00785D2B">
        <w:rPr>
          <w:sz w:val="22"/>
          <w:szCs w:val="22"/>
        </w:rPr>
        <w:t xml:space="preserve"> aux enseignantes et aux enseignants du </w:t>
      </w:r>
      <w:r w:rsidRPr="00785D2B">
        <w:rPr>
          <w:sz w:val="22"/>
          <w:szCs w:val="22"/>
        </w:rPr>
        <w:t>supérieur</w:t>
      </w:r>
      <w:r w:rsidR="009D73B4" w:rsidRPr="00785D2B">
        <w:rPr>
          <w:sz w:val="22"/>
          <w:szCs w:val="22"/>
        </w:rPr>
        <w:t xml:space="preserve">, </w:t>
      </w:r>
      <w:r w:rsidRPr="00785D2B">
        <w:rPr>
          <w:sz w:val="22"/>
          <w:szCs w:val="22"/>
        </w:rPr>
        <w:t>déjà</w:t>
      </w:r>
      <w:r w:rsidR="009D73B4" w:rsidRPr="00785D2B">
        <w:rPr>
          <w:sz w:val="22"/>
          <w:szCs w:val="22"/>
        </w:rPr>
        <w:t xml:space="preserve">̀ en fonction dans un </w:t>
      </w:r>
      <w:r w:rsidRPr="00785D2B">
        <w:rPr>
          <w:sz w:val="22"/>
          <w:szCs w:val="22"/>
        </w:rPr>
        <w:t>établissement</w:t>
      </w:r>
      <w:r w:rsidR="009D73B4" w:rsidRPr="00785D2B">
        <w:rPr>
          <w:sz w:val="22"/>
          <w:szCs w:val="22"/>
        </w:rPr>
        <w:t xml:space="preserve"> d’enseignement sup</w:t>
      </w:r>
      <w:r>
        <w:rPr>
          <w:sz w:val="22"/>
          <w:szCs w:val="22"/>
        </w:rPr>
        <w:t>é</w:t>
      </w:r>
      <w:r w:rsidR="009D73B4" w:rsidRPr="00785D2B">
        <w:rPr>
          <w:sz w:val="22"/>
          <w:szCs w:val="22"/>
        </w:rPr>
        <w:t xml:space="preserve">rieur pour la plupart d’entre elles et d’entre eux. Proposé en ligne, avec des temps synchrones et d’autres asynchrones, ce cours a </w:t>
      </w:r>
      <w:r>
        <w:rPr>
          <w:sz w:val="22"/>
          <w:szCs w:val="22"/>
        </w:rPr>
        <w:t>été</w:t>
      </w:r>
      <w:r w:rsidR="009D73B4" w:rsidRPr="00785D2B">
        <w:rPr>
          <w:sz w:val="22"/>
          <w:szCs w:val="22"/>
        </w:rPr>
        <w:t xml:space="preserve"> dispensé à un groupe de dix personnes </w:t>
      </w:r>
      <w:r>
        <w:rPr>
          <w:sz w:val="22"/>
          <w:szCs w:val="22"/>
        </w:rPr>
        <w:t>é</w:t>
      </w:r>
      <w:r w:rsidR="009D73B4" w:rsidRPr="00785D2B">
        <w:rPr>
          <w:sz w:val="22"/>
          <w:szCs w:val="22"/>
        </w:rPr>
        <w:t>tudiantes à l’automne 2025. Dans le cadre de cette communication, je proposerai premi</w:t>
      </w:r>
      <w:r>
        <w:rPr>
          <w:sz w:val="22"/>
          <w:szCs w:val="22"/>
        </w:rPr>
        <w:t>è</w:t>
      </w:r>
      <w:r w:rsidR="009D73B4" w:rsidRPr="00785D2B">
        <w:rPr>
          <w:sz w:val="22"/>
          <w:szCs w:val="22"/>
        </w:rPr>
        <w:t xml:space="preserve">rement d’illustrer comment le cours a </w:t>
      </w:r>
      <w:r>
        <w:rPr>
          <w:sz w:val="22"/>
          <w:szCs w:val="22"/>
        </w:rPr>
        <w:t>été</w:t>
      </w:r>
      <w:r w:rsidR="009D73B4" w:rsidRPr="00785D2B">
        <w:rPr>
          <w:sz w:val="22"/>
          <w:szCs w:val="22"/>
        </w:rPr>
        <w:t xml:space="preserve"> sc</w:t>
      </w:r>
      <w:r>
        <w:rPr>
          <w:sz w:val="22"/>
          <w:szCs w:val="22"/>
        </w:rPr>
        <w:t>é</w:t>
      </w:r>
      <w:r w:rsidR="009D73B4" w:rsidRPr="00785D2B">
        <w:rPr>
          <w:sz w:val="22"/>
          <w:szCs w:val="22"/>
        </w:rPr>
        <w:t>naris</w:t>
      </w:r>
      <w:r>
        <w:rPr>
          <w:sz w:val="22"/>
          <w:szCs w:val="22"/>
        </w:rPr>
        <w:t>é</w:t>
      </w:r>
      <w:r w:rsidR="009D73B4" w:rsidRPr="00785D2B">
        <w:rPr>
          <w:sz w:val="22"/>
          <w:szCs w:val="22"/>
        </w:rPr>
        <w:t xml:space="preserve"> en mettant en pratique les lignes directrices de la conception universelle de l’apprentissage (Rose et Meyer, 2002) afin d’</w:t>
      </w:r>
      <w:r>
        <w:rPr>
          <w:sz w:val="22"/>
          <w:szCs w:val="22"/>
        </w:rPr>
        <w:t>é</w:t>
      </w:r>
      <w:r w:rsidR="009D73B4" w:rsidRPr="00785D2B">
        <w:rPr>
          <w:sz w:val="22"/>
          <w:szCs w:val="22"/>
        </w:rPr>
        <w:t>liminer plusieurs obstacles à l’apprentissage (</w:t>
      </w:r>
      <w:proofErr w:type="spellStart"/>
      <w:r w:rsidR="009D73B4" w:rsidRPr="00785D2B">
        <w:rPr>
          <w:sz w:val="22"/>
          <w:szCs w:val="22"/>
        </w:rPr>
        <w:t>Doutreloux</w:t>
      </w:r>
      <w:proofErr w:type="spellEnd"/>
      <w:r w:rsidR="009D73B4" w:rsidRPr="00785D2B">
        <w:rPr>
          <w:sz w:val="22"/>
          <w:szCs w:val="22"/>
        </w:rPr>
        <w:t>, 2025). Deuxi</w:t>
      </w:r>
      <w:r>
        <w:rPr>
          <w:sz w:val="22"/>
          <w:szCs w:val="22"/>
        </w:rPr>
        <w:t>è</w:t>
      </w:r>
      <w:r w:rsidR="009D73B4" w:rsidRPr="00785D2B">
        <w:rPr>
          <w:sz w:val="22"/>
          <w:szCs w:val="22"/>
        </w:rPr>
        <w:t>mement, je pr</w:t>
      </w:r>
      <w:r>
        <w:rPr>
          <w:sz w:val="22"/>
          <w:szCs w:val="22"/>
        </w:rPr>
        <w:t>é</w:t>
      </w:r>
      <w:r w:rsidR="009D73B4" w:rsidRPr="00785D2B">
        <w:rPr>
          <w:sz w:val="22"/>
          <w:szCs w:val="22"/>
        </w:rPr>
        <w:t>senterai les activit</w:t>
      </w:r>
      <w:r>
        <w:rPr>
          <w:sz w:val="22"/>
          <w:szCs w:val="22"/>
        </w:rPr>
        <w:t>é</w:t>
      </w:r>
      <w:r w:rsidR="009D73B4" w:rsidRPr="00785D2B">
        <w:rPr>
          <w:sz w:val="22"/>
          <w:szCs w:val="22"/>
        </w:rPr>
        <w:t>s p</w:t>
      </w:r>
      <w:r>
        <w:rPr>
          <w:sz w:val="22"/>
          <w:szCs w:val="22"/>
        </w:rPr>
        <w:t>é</w:t>
      </w:r>
      <w:r w:rsidR="009D73B4" w:rsidRPr="00785D2B">
        <w:rPr>
          <w:sz w:val="22"/>
          <w:szCs w:val="22"/>
        </w:rPr>
        <w:t xml:space="preserve">dagogiques et </w:t>
      </w:r>
      <w:r>
        <w:rPr>
          <w:sz w:val="22"/>
          <w:szCs w:val="22"/>
        </w:rPr>
        <w:t>é</w:t>
      </w:r>
      <w:r w:rsidR="009D73B4" w:rsidRPr="00785D2B">
        <w:rPr>
          <w:sz w:val="22"/>
          <w:szCs w:val="22"/>
        </w:rPr>
        <w:t xml:space="preserve">valuatives qui ont </w:t>
      </w:r>
      <w:r>
        <w:rPr>
          <w:sz w:val="22"/>
          <w:szCs w:val="22"/>
        </w:rPr>
        <w:t>été</w:t>
      </w:r>
      <w:r w:rsidR="009D73B4" w:rsidRPr="00785D2B">
        <w:rPr>
          <w:sz w:val="22"/>
          <w:szCs w:val="22"/>
        </w:rPr>
        <w:t xml:space="preserve"> cr</w:t>
      </w:r>
      <w:r>
        <w:rPr>
          <w:sz w:val="22"/>
          <w:szCs w:val="22"/>
        </w:rPr>
        <w:t>éé</w:t>
      </w:r>
      <w:r w:rsidR="009D73B4" w:rsidRPr="00785D2B">
        <w:rPr>
          <w:sz w:val="22"/>
          <w:szCs w:val="22"/>
        </w:rPr>
        <w:t>es afin de permettre de favoriser les apprentissages</w:t>
      </w:r>
      <w:r w:rsidR="009D73B4" w:rsidRPr="00785D2B">
        <w:rPr>
          <w:sz w:val="22"/>
          <w:szCs w:val="22"/>
        </w:rPr>
        <w:t xml:space="preserve"> </w:t>
      </w:r>
      <w:r w:rsidR="009D73B4" w:rsidRPr="00785D2B">
        <w:rPr>
          <w:sz w:val="22"/>
          <w:szCs w:val="22"/>
        </w:rPr>
        <w:t xml:space="preserve">durables des personnes </w:t>
      </w:r>
      <w:r>
        <w:rPr>
          <w:sz w:val="22"/>
          <w:szCs w:val="22"/>
        </w:rPr>
        <w:t>é</w:t>
      </w:r>
      <w:r w:rsidR="009D73B4" w:rsidRPr="00785D2B">
        <w:rPr>
          <w:sz w:val="22"/>
          <w:szCs w:val="22"/>
        </w:rPr>
        <w:t>tudiantes. Troisi</w:t>
      </w:r>
      <w:r>
        <w:rPr>
          <w:sz w:val="22"/>
          <w:szCs w:val="22"/>
        </w:rPr>
        <w:t>è</w:t>
      </w:r>
      <w:r w:rsidR="009D73B4" w:rsidRPr="00785D2B">
        <w:rPr>
          <w:sz w:val="22"/>
          <w:szCs w:val="22"/>
        </w:rPr>
        <w:t>mement, je mettrai en lumi</w:t>
      </w:r>
      <w:r>
        <w:rPr>
          <w:sz w:val="22"/>
          <w:szCs w:val="22"/>
        </w:rPr>
        <w:t>è</w:t>
      </w:r>
      <w:r w:rsidR="009D73B4" w:rsidRPr="00785D2B">
        <w:rPr>
          <w:sz w:val="22"/>
          <w:szCs w:val="22"/>
        </w:rPr>
        <w:t>re les appr</w:t>
      </w:r>
      <w:r>
        <w:rPr>
          <w:sz w:val="22"/>
          <w:szCs w:val="22"/>
        </w:rPr>
        <w:t>é</w:t>
      </w:r>
      <w:r w:rsidR="009D73B4" w:rsidRPr="00785D2B">
        <w:rPr>
          <w:sz w:val="22"/>
          <w:szCs w:val="22"/>
        </w:rPr>
        <w:t>ciations de l’enseignement re</w:t>
      </w:r>
      <w:r>
        <w:rPr>
          <w:sz w:val="22"/>
          <w:szCs w:val="22"/>
        </w:rPr>
        <w:t>ç</w:t>
      </w:r>
      <w:r w:rsidR="009D73B4" w:rsidRPr="00785D2B">
        <w:rPr>
          <w:sz w:val="22"/>
          <w:szCs w:val="22"/>
        </w:rPr>
        <w:t xml:space="preserve">ues, ainsi que les commentaires </w:t>
      </w:r>
      <w:r>
        <w:rPr>
          <w:sz w:val="22"/>
          <w:szCs w:val="22"/>
        </w:rPr>
        <w:t>é</w:t>
      </w:r>
      <w:r w:rsidR="009D73B4" w:rsidRPr="00785D2B">
        <w:rPr>
          <w:sz w:val="22"/>
          <w:szCs w:val="22"/>
        </w:rPr>
        <w:t xml:space="preserve">manant de personnes </w:t>
      </w:r>
      <w:r>
        <w:rPr>
          <w:sz w:val="22"/>
          <w:szCs w:val="22"/>
        </w:rPr>
        <w:t>é</w:t>
      </w:r>
      <w:r w:rsidR="009D73B4" w:rsidRPr="00785D2B">
        <w:rPr>
          <w:sz w:val="22"/>
          <w:szCs w:val="22"/>
        </w:rPr>
        <w:t>tudiantes qui ont suivi le cours, propos recueillis lors d’un groupe de discussion portant sp</w:t>
      </w:r>
      <w:r>
        <w:rPr>
          <w:sz w:val="22"/>
          <w:szCs w:val="22"/>
        </w:rPr>
        <w:t>é</w:t>
      </w:r>
      <w:r w:rsidR="009D73B4" w:rsidRPr="00785D2B">
        <w:rPr>
          <w:sz w:val="22"/>
          <w:szCs w:val="22"/>
        </w:rPr>
        <w:t xml:space="preserve">cifiquement sur les pratiques </w:t>
      </w:r>
      <w:proofErr w:type="spellStart"/>
      <w:r w:rsidR="009D73B4" w:rsidRPr="00785D2B">
        <w:rPr>
          <w:sz w:val="22"/>
          <w:szCs w:val="22"/>
        </w:rPr>
        <w:t>p</w:t>
      </w:r>
      <w:r>
        <w:rPr>
          <w:sz w:val="22"/>
          <w:szCs w:val="22"/>
        </w:rPr>
        <w:t>é</w:t>
      </w:r>
      <w:r w:rsidR="009D73B4" w:rsidRPr="00785D2B">
        <w:rPr>
          <w:sz w:val="22"/>
          <w:szCs w:val="22"/>
        </w:rPr>
        <w:t>dagonum</w:t>
      </w:r>
      <w:r>
        <w:rPr>
          <w:sz w:val="22"/>
          <w:szCs w:val="22"/>
        </w:rPr>
        <w:t>é</w:t>
      </w:r>
      <w:r w:rsidR="009D73B4" w:rsidRPr="00785D2B">
        <w:rPr>
          <w:sz w:val="22"/>
          <w:szCs w:val="22"/>
        </w:rPr>
        <w:t>riques</w:t>
      </w:r>
      <w:proofErr w:type="spellEnd"/>
      <w:r w:rsidR="009D73B4" w:rsidRPr="00785D2B">
        <w:rPr>
          <w:sz w:val="22"/>
          <w:szCs w:val="22"/>
        </w:rPr>
        <w:t xml:space="preserve"> inclusives. Finalement, je partagerai quelles sont les am</w:t>
      </w:r>
      <w:r>
        <w:rPr>
          <w:sz w:val="22"/>
          <w:szCs w:val="22"/>
        </w:rPr>
        <w:t>é</w:t>
      </w:r>
      <w:r w:rsidR="009D73B4" w:rsidRPr="00785D2B">
        <w:rPr>
          <w:sz w:val="22"/>
          <w:szCs w:val="22"/>
        </w:rPr>
        <w:t>liorations qui sont envisag</w:t>
      </w:r>
      <w:r>
        <w:rPr>
          <w:sz w:val="22"/>
          <w:szCs w:val="22"/>
        </w:rPr>
        <w:t>é</w:t>
      </w:r>
      <w:r w:rsidR="009D73B4" w:rsidRPr="00785D2B">
        <w:rPr>
          <w:sz w:val="22"/>
          <w:szCs w:val="22"/>
        </w:rPr>
        <w:t>es pour la prochaine it</w:t>
      </w:r>
      <w:r>
        <w:rPr>
          <w:sz w:val="22"/>
          <w:szCs w:val="22"/>
        </w:rPr>
        <w:t>é</w:t>
      </w:r>
      <w:r w:rsidR="009D73B4" w:rsidRPr="00785D2B">
        <w:rPr>
          <w:sz w:val="22"/>
          <w:szCs w:val="22"/>
        </w:rPr>
        <w:t xml:space="preserve">ration du cours ainsi que des </w:t>
      </w:r>
      <w:r>
        <w:rPr>
          <w:sz w:val="22"/>
          <w:szCs w:val="22"/>
        </w:rPr>
        <w:t>é</w:t>
      </w:r>
      <w:r w:rsidR="009D73B4" w:rsidRPr="00785D2B">
        <w:rPr>
          <w:sz w:val="22"/>
          <w:szCs w:val="22"/>
        </w:rPr>
        <w:t>l</w:t>
      </w:r>
      <w:r>
        <w:rPr>
          <w:sz w:val="22"/>
          <w:szCs w:val="22"/>
        </w:rPr>
        <w:t>é</w:t>
      </w:r>
      <w:r w:rsidR="009D73B4" w:rsidRPr="00785D2B">
        <w:rPr>
          <w:sz w:val="22"/>
          <w:szCs w:val="22"/>
        </w:rPr>
        <w:t>ments qui seraient transf</w:t>
      </w:r>
      <w:r>
        <w:rPr>
          <w:sz w:val="22"/>
          <w:szCs w:val="22"/>
        </w:rPr>
        <w:t>é</w:t>
      </w:r>
      <w:r w:rsidR="009D73B4" w:rsidRPr="00785D2B">
        <w:rPr>
          <w:sz w:val="22"/>
          <w:szCs w:val="22"/>
        </w:rPr>
        <w:t xml:space="preserve">rables dans d’autres contextes de formation. </w:t>
      </w:r>
    </w:p>
    <w:p w:rsidR="00C56C44" w:rsidRPr="00785D2B" w:rsidRDefault="00C56C44" w:rsidP="00966500">
      <w:r w:rsidRPr="00785D2B">
        <w:br/>
      </w:r>
    </w:p>
    <w:p w:rsidR="002C4CA3" w:rsidRPr="00785D2B" w:rsidRDefault="002C4CA3" w:rsidP="00966500"/>
    <w:p w:rsidR="00204336" w:rsidRPr="008F1B84" w:rsidRDefault="00204336" w:rsidP="008F1B84">
      <w:pPr>
        <w:pStyle w:val="NormalWeb"/>
        <w:pBdr>
          <w:top w:val="single" w:sz="4" w:space="1" w:color="auto"/>
          <w:left w:val="single" w:sz="4" w:space="4" w:color="auto"/>
          <w:bottom w:val="single" w:sz="4" w:space="1" w:color="auto"/>
          <w:right w:val="single" w:sz="4" w:space="4" w:color="auto"/>
        </w:pBdr>
        <w:spacing w:before="0" w:beforeAutospacing="0" w:after="0" w:afterAutospacing="0"/>
        <w:rPr>
          <w:b/>
          <w:bCs/>
          <w:color w:val="0070C0"/>
        </w:rPr>
      </w:pPr>
      <w:r w:rsidRPr="008F1B84">
        <w:rPr>
          <w:b/>
          <w:bCs/>
          <w:color w:val="0070C0"/>
        </w:rPr>
        <w:t xml:space="preserve">Julia </w:t>
      </w:r>
      <w:proofErr w:type="spellStart"/>
      <w:r w:rsidRPr="008F1B84">
        <w:rPr>
          <w:b/>
          <w:bCs/>
          <w:color w:val="0070C0"/>
        </w:rPr>
        <w:t>Midele</w:t>
      </w:r>
      <w:r w:rsidR="008F1B84" w:rsidRPr="008F1B84">
        <w:rPr>
          <w:b/>
          <w:bCs/>
          <w:color w:val="0070C0"/>
        </w:rPr>
        <w:t>t</w:t>
      </w:r>
      <w:proofErr w:type="spellEnd"/>
      <w:r w:rsidR="008F1B84" w:rsidRPr="008F1B84">
        <w:rPr>
          <w:b/>
          <w:bCs/>
          <w:color w:val="0070C0"/>
        </w:rPr>
        <w:t xml:space="preserve"> et</w:t>
      </w:r>
      <w:r w:rsidRPr="008F1B84">
        <w:rPr>
          <w:b/>
          <w:bCs/>
          <w:color w:val="0070C0"/>
        </w:rPr>
        <w:t xml:space="preserve"> Laurence Leroyer</w:t>
      </w:r>
    </w:p>
    <w:p w:rsidR="008F1B84" w:rsidRPr="008F1B84" w:rsidRDefault="008F1B84" w:rsidP="008F1B8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color w:val="0070C0"/>
          <w:shd w:val="clear" w:color="auto" w:fill="FFFFFF"/>
        </w:rPr>
      </w:pPr>
      <w:r w:rsidRPr="008F1B84">
        <w:rPr>
          <w:color w:val="0070C0"/>
          <w:shd w:val="clear" w:color="auto" w:fill="FFFFFF"/>
        </w:rPr>
        <w:t>Former les enseignants d'Inspé à prendre en compte la diversité des apprenants : des contextes qui conditionnent l'utilisation des ressources de la formation.</w:t>
      </w:r>
    </w:p>
    <w:p w:rsidR="008F1B84" w:rsidRDefault="008F1B84" w:rsidP="00966500">
      <w:pPr>
        <w:rPr>
          <w:b/>
          <w:bCs/>
        </w:rPr>
      </w:pPr>
    </w:p>
    <w:p w:rsidR="002C4CA3" w:rsidRPr="008F1B84" w:rsidRDefault="00204336" w:rsidP="00966500">
      <w:pPr>
        <w:rPr>
          <w:sz w:val="22"/>
          <w:szCs w:val="22"/>
        </w:rPr>
      </w:pPr>
      <w:r w:rsidRPr="008F1B84">
        <w:rPr>
          <w:b/>
          <w:bCs/>
          <w:sz w:val="22"/>
          <w:szCs w:val="22"/>
        </w:rPr>
        <w:t>Julia MIDELET</w:t>
      </w:r>
      <w:r w:rsidRPr="008F1B84">
        <w:rPr>
          <w:sz w:val="22"/>
          <w:szCs w:val="22"/>
        </w:rPr>
        <w:t xml:space="preserve"> est maîtresse </w:t>
      </w:r>
      <w:r w:rsidRPr="008F1B84">
        <w:rPr>
          <w:sz w:val="22"/>
          <w:szCs w:val="22"/>
        </w:rPr>
        <w:t xml:space="preserve">de conférences à l’INSPE de Caen Normandie et membre du </w:t>
      </w:r>
      <w:r w:rsidR="008F1B84" w:rsidRPr="008F1B84">
        <w:rPr>
          <w:sz w:val="22"/>
          <w:szCs w:val="22"/>
        </w:rPr>
        <w:t>CIRNEF</w:t>
      </w:r>
      <w:r w:rsidRPr="008F1B84">
        <w:rPr>
          <w:sz w:val="22"/>
          <w:szCs w:val="22"/>
        </w:rPr>
        <w:t>.</w:t>
      </w:r>
      <w:r w:rsidRPr="008F1B84">
        <w:rPr>
          <w:sz w:val="22"/>
          <w:szCs w:val="22"/>
        </w:rPr>
        <w:t xml:space="preserve"> Elle est codirectrice du Laboratoire international sur l’inclusion scolaire.</w:t>
      </w:r>
    </w:p>
    <w:p w:rsidR="00C56C44" w:rsidRPr="008F1B84" w:rsidRDefault="002C4CA3" w:rsidP="00966500">
      <w:pPr>
        <w:rPr>
          <w:sz w:val="22"/>
          <w:szCs w:val="22"/>
        </w:rPr>
      </w:pPr>
      <w:r w:rsidRPr="008F1B84">
        <w:rPr>
          <w:b/>
          <w:bCs/>
          <w:sz w:val="22"/>
          <w:szCs w:val="22"/>
        </w:rPr>
        <w:t>Laurence L</w:t>
      </w:r>
      <w:r w:rsidR="008F1B84">
        <w:rPr>
          <w:b/>
          <w:bCs/>
          <w:sz w:val="22"/>
          <w:szCs w:val="22"/>
        </w:rPr>
        <w:t>EROYER</w:t>
      </w:r>
      <w:r w:rsidR="00204336" w:rsidRPr="008F1B84">
        <w:rPr>
          <w:sz w:val="22"/>
          <w:szCs w:val="22"/>
        </w:rPr>
        <w:t xml:space="preserve"> est maîtresse </w:t>
      </w:r>
      <w:r w:rsidR="00204336" w:rsidRPr="008F1B84">
        <w:rPr>
          <w:sz w:val="22"/>
          <w:szCs w:val="22"/>
        </w:rPr>
        <w:t>de conférences à l’</w:t>
      </w:r>
      <w:r w:rsidR="008F1B84" w:rsidRPr="008F1B84">
        <w:rPr>
          <w:sz w:val="22"/>
          <w:szCs w:val="22"/>
        </w:rPr>
        <w:t>Université</w:t>
      </w:r>
      <w:r w:rsidR="00204336" w:rsidRPr="008F1B84">
        <w:rPr>
          <w:sz w:val="22"/>
          <w:szCs w:val="22"/>
        </w:rPr>
        <w:t xml:space="preserve"> de Caen Normandie et membre du Centre Interdisciplinaire de Recherche Normand en Éducation et Formation.</w:t>
      </w:r>
      <w:r w:rsidR="00204336" w:rsidRPr="008F1B84">
        <w:rPr>
          <w:sz w:val="22"/>
          <w:szCs w:val="22"/>
        </w:rPr>
        <w:t xml:space="preserve"> </w:t>
      </w:r>
    </w:p>
    <w:p w:rsidR="008F1B84" w:rsidRPr="008F1B84" w:rsidRDefault="008F1B84" w:rsidP="00966500">
      <w:pPr>
        <w:rPr>
          <w:sz w:val="22"/>
          <w:szCs w:val="22"/>
        </w:rPr>
      </w:pPr>
    </w:p>
    <w:p w:rsidR="008F1B84" w:rsidRPr="008F1B84" w:rsidRDefault="008F1B84" w:rsidP="00966500">
      <w:pPr>
        <w:rPr>
          <w:sz w:val="22"/>
          <w:szCs w:val="22"/>
        </w:rPr>
      </w:pPr>
    </w:p>
    <w:p w:rsidR="008F1B84" w:rsidRPr="008F1B84" w:rsidRDefault="008F1B84" w:rsidP="008F1B84">
      <w:pPr>
        <w:pStyle w:val="NormalWeb"/>
        <w:shd w:val="clear" w:color="auto" w:fill="FFFFFF"/>
        <w:spacing w:before="0" w:beforeAutospacing="0" w:after="0" w:afterAutospacing="0"/>
        <w:rPr>
          <w:b/>
          <w:bCs/>
          <w:color w:val="151515"/>
          <w:sz w:val="22"/>
          <w:szCs w:val="22"/>
          <w:shd w:val="clear" w:color="auto" w:fill="FFFFFF"/>
        </w:rPr>
      </w:pPr>
      <w:r w:rsidRPr="008F1B84">
        <w:rPr>
          <w:b/>
          <w:bCs/>
          <w:color w:val="151515"/>
          <w:sz w:val="22"/>
          <w:szCs w:val="22"/>
          <w:shd w:val="clear" w:color="auto" w:fill="FFFFFF"/>
        </w:rPr>
        <w:t>Former les enseignants d'Inspé à prendre en compte la diversité des apprenants : des contextes qui conditionnent l'utilisation des ressources de la formation.</w:t>
      </w:r>
    </w:p>
    <w:p w:rsidR="008F1B84" w:rsidRPr="008F1B84" w:rsidRDefault="008F1B84" w:rsidP="008F1B84">
      <w:pPr>
        <w:pStyle w:val="NormalWeb"/>
        <w:shd w:val="clear" w:color="auto" w:fill="FFFFFF"/>
        <w:spacing w:before="0" w:beforeAutospacing="0" w:after="0" w:afterAutospacing="0"/>
        <w:jc w:val="center"/>
        <w:rPr>
          <w:color w:val="151515"/>
          <w:sz w:val="22"/>
          <w:szCs w:val="22"/>
        </w:rPr>
      </w:pPr>
    </w:p>
    <w:p w:rsidR="008F1B84" w:rsidRPr="008F1B84" w:rsidRDefault="008F1B84" w:rsidP="008F1B84">
      <w:pPr>
        <w:pStyle w:val="NormalWeb"/>
        <w:shd w:val="clear" w:color="auto" w:fill="FFFFFF"/>
        <w:spacing w:before="0" w:beforeAutospacing="0" w:after="0" w:afterAutospacing="0"/>
        <w:jc w:val="both"/>
        <w:rPr>
          <w:color w:val="151515"/>
          <w:sz w:val="22"/>
          <w:szCs w:val="22"/>
        </w:rPr>
      </w:pPr>
      <w:r w:rsidRPr="008F1B84">
        <w:rPr>
          <w:color w:val="151515"/>
          <w:sz w:val="22"/>
          <w:szCs w:val="22"/>
        </w:rPr>
        <w:t>Parmi les préconisations du comité interministériel du handicap du 20 septembre 2023 figure une « université pleinement accessible ». Au-delà de l'accessibilité des bâtiments, celle des enseignements est à penser (</w:t>
      </w:r>
      <w:proofErr w:type="spellStart"/>
      <w:r w:rsidRPr="008F1B84">
        <w:rPr>
          <w:color w:val="151515"/>
          <w:sz w:val="22"/>
          <w:szCs w:val="22"/>
        </w:rPr>
        <w:t>Ebersold</w:t>
      </w:r>
      <w:proofErr w:type="spellEnd"/>
      <w:r w:rsidRPr="008F1B84">
        <w:rPr>
          <w:color w:val="151515"/>
          <w:sz w:val="22"/>
          <w:szCs w:val="22"/>
        </w:rPr>
        <w:t xml:space="preserve">, 2021). Or, </w:t>
      </w:r>
      <w:proofErr w:type="spellStart"/>
      <w:r w:rsidRPr="008F1B84">
        <w:rPr>
          <w:color w:val="151515"/>
          <w:sz w:val="22"/>
          <w:szCs w:val="22"/>
        </w:rPr>
        <w:t>Kennel</w:t>
      </w:r>
      <w:proofErr w:type="spellEnd"/>
      <w:r w:rsidRPr="008F1B84">
        <w:rPr>
          <w:color w:val="151515"/>
          <w:sz w:val="22"/>
          <w:szCs w:val="22"/>
        </w:rPr>
        <w:t xml:space="preserve">, Guillon, </w:t>
      </w:r>
      <w:proofErr w:type="spellStart"/>
      <w:r w:rsidRPr="008F1B84">
        <w:rPr>
          <w:color w:val="151515"/>
          <w:sz w:val="22"/>
          <w:szCs w:val="22"/>
        </w:rPr>
        <w:t>Caublot</w:t>
      </w:r>
      <w:proofErr w:type="spellEnd"/>
      <w:r w:rsidRPr="008F1B84">
        <w:rPr>
          <w:color w:val="151515"/>
          <w:sz w:val="22"/>
          <w:szCs w:val="22"/>
        </w:rPr>
        <w:t xml:space="preserve"> et Rohmer ont montré la « méconnaissance chez certains enseignants-chercheurs des concepts de pédagogie inclusive ou de conception universelle de l'apprentissage » (p. 24). La formation et notamment celle des enseignants-chercheurs constitue alors un levier (Perez et </w:t>
      </w:r>
      <w:proofErr w:type="spellStart"/>
      <w:r w:rsidRPr="008F1B84">
        <w:rPr>
          <w:color w:val="151515"/>
          <w:sz w:val="22"/>
          <w:szCs w:val="22"/>
        </w:rPr>
        <w:t>Suau</w:t>
      </w:r>
      <w:proofErr w:type="spellEnd"/>
      <w:r w:rsidRPr="008F1B84">
        <w:rPr>
          <w:color w:val="151515"/>
          <w:sz w:val="22"/>
          <w:szCs w:val="22"/>
        </w:rPr>
        <w:t>, 2025) pour faire évoluer leurs pratiques en ce sens et contribuer à impulser une « dynamique inclusive » (</w:t>
      </w:r>
      <w:proofErr w:type="spellStart"/>
      <w:r w:rsidRPr="008F1B84">
        <w:rPr>
          <w:color w:val="151515"/>
          <w:sz w:val="22"/>
          <w:szCs w:val="22"/>
        </w:rPr>
        <w:t>Midelet</w:t>
      </w:r>
      <w:proofErr w:type="spellEnd"/>
      <w:r w:rsidRPr="008F1B84">
        <w:rPr>
          <w:color w:val="151515"/>
          <w:sz w:val="22"/>
          <w:szCs w:val="22"/>
        </w:rPr>
        <w:t>, 2020).</w:t>
      </w:r>
    </w:p>
    <w:p w:rsidR="008F1B84" w:rsidRPr="008F1B84" w:rsidRDefault="008F1B84" w:rsidP="008F1B84">
      <w:pPr>
        <w:pStyle w:val="NormalWeb"/>
        <w:shd w:val="clear" w:color="auto" w:fill="FFFFFF"/>
        <w:spacing w:before="0" w:beforeAutospacing="0" w:after="0" w:afterAutospacing="0"/>
        <w:jc w:val="both"/>
        <w:rPr>
          <w:color w:val="151515"/>
          <w:sz w:val="22"/>
          <w:szCs w:val="22"/>
        </w:rPr>
      </w:pPr>
      <w:r w:rsidRPr="008F1B84">
        <w:rPr>
          <w:color w:val="151515"/>
          <w:sz w:val="22"/>
          <w:szCs w:val="22"/>
        </w:rPr>
        <w:t>Cette formation est d'autant plus importante pour les enseignants d'Inspé chargés de la formation initiale des enseignants du primaire et secondaire. Ils doivent ainsi les former à prendre en compte la diversité des élèves (Amiot et al., 2024) tout en veillant eux-mêmes à ce que leur enseignement soit accessible aux étudiants. Aussi, une formation fondée sur ce double enjeu a été développée dans le cadre du PIA3 100% IDT et implémenté dans les quatre Inspé engagés dans ce projet.</w:t>
      </w:r>
    </w:p>
    <w:p w:rsidR="008F1B84" w:rsidRPr="008F1B84" w:rsidRDefault="008F1B84" w:rsidP="008F1B84">
      <w:pPr>
        <w:pStyle w:val="NormalWeb"/>
        <w:shd w:val="clear" w:color="auto" w:fill="FFFFFF"/>
        <w:spacing w:before="0" w:beforeAutospacing="0" w:after="0" w:afterAutospacing="0"/>
        <w:jc w:val="both"/>
        <w:rPr>
          <w:color w:val="151515"/>
          <w:sz w:val="22"/>
          <w:szCs w:val="22"/>
        </w:rPr>
      </w:pPr>
      <w:r w:rsidRPr="008F1B84">
        <w:rPr>
          <w:color w:val="151515"/>
          <w:sz w:val="22"/>
          <w:szCs w:val="22"/>
        </w:rPr>
        <w:t>Les enseignants exerçant dans ces Inspé se sont-ils saisis de cette opportunité ? Au-delà des facteurs individuels, des facteurs relatifs au contexte d'exercice professionnel – appréhendés à différentes temporalités de la formation et échelles institutionnelles - ont-ils pu favoriser ou contraindre l'utilisation des ressources mises à disposition dans le cadre de cette formation ?</w:t>
      </w:r>
    </w:p>
    <w:p w:rsidR="008F1B84" w:rsidRPr="008F1B84" w:rsidRDefault="008F1B84" w:rsidP="008F1B84">
      <w:pPr>
        <w:pStyle w:val="NormalWeb"/>
        <w:shd w:val="clear" w:color="auto" w:fill="FFFFFF"/>
        <w:spacing w:before="0" w:beforeAutospacing="0" w:after="0" w:afterAutospacing="0"/>
        <w:jc w:val="both"/>
        <w:rPr>
          <w:color w:val="151515"/>
          <w:sz w:val="22"/>
          <w:szCs w:val="22"/>
        </w:rPr>
      </w:pPr>
      <w:r w:rsidRPr="008F1B84">
        <w:rPr>
          <w:color w:val="151515"/>
          <w:sz w:val="22"/>
          <w:szCs w:val="22"/>
        </w:rPr>
        <w:t xml:space="preserve">Nous avons mené des entretiens directifs auprès des six formatrices ayant mis en œuvre cette formation depuis quatre ans. Les résultats permettent d'identifier différentes dynamiques </w:t>
      </w:r>
      <w:proofErr w:type="spellStart"/>
      <w:r w:rsidRPr="008F1B84">
        <w:rPr>
          <w:color w:val="151515"/>
          <w:sz w:val="22"/>
          <w:szCs w:val="22"/>
        </w:rPr>
        <w:t>capacitantes</w:t>
      </w:r>
      <w:proofErr w:type="spellEnd"/>
      <w:r w:rsidRPr="008F1B84">
        <w:rPr>
          <w:color w:val="151515"/>
          <w:sz w:val="22"/>
          <w:szCs w:val="22"/>
        </w:rPr>
        <w:t xml:space="preserve"> ainsi que des facteurs liés au contexte qui ont pu contribuer, restreindre voire empêcher le développement du pouvoir d'agir des formés (</w:t>
      </w:r>
      <w:proofErr w:type="spellStart"/>
      <w:r w:rsidRPr="008F1B84">
        <w:rPr>
          <w:color w:val="151515"/>
          <w:sz w:val="22"/>
          <w:szCs w:val="22"/>
        </w:rPr>
        <w:t>Fernagu</w:t>
      </w:r>
      <w:proofErr w:type="spellEnd"/>
      <w:r w:rsidRPr="008F1B84">
        <w:rPr>
          <w:color w:val="151515"/>
          <w:sz w:val="22"/>
          <w:szCs w:val="22"/>
        </w:rPr>
        <w:t>, 2022). Ils contribuent également à l'identification de leviers à activer pour plus de « capacitation », leviers à considérer lorsqu'il s'agira de penser l'essaimage de cette formation.</w:t>
      </w:r>
    </w:p>
    <w:p w:rsidR="008F1B84" w:rsidRPr="008F1B84" w:rsidRDefault="008F1B84" w:rsidP="008F1B84">
      <w:pPr>
        <w:pStyle w:val="NormalWeb"/>
        <w:shd w:val="clear" w:color="auto" w:fill="FFFFFF"/>
        <w:spacing w:before="0" w:beforeAutospacing="0" w:after="0" w:afterAutospacing="0"/>
        <w:jc w:val="both"/>
        <w:rPr>
          <w:color w:val="151515"/>
          <w:sz w:val="22"/>
          <w:szCs w:val="22"/>
        </w:rPr>
      </w:pPr>
    </w:p>
    <w:p w:rsidR="008F1B84" w:rsidRDefault="008F1B84" w:rsidP="008F1B84">
      <w:pPr>
        <w:jc w:val="both"/>
        <w:rPr>
          <w:rFonts w:ascii="Times New Roman" w:eastAsia="Times New Roman" w:hAnsi="Times New Roman" w:cs="Times New Roman"/>
          <w:color w:val="151515"/>
          <w:kern w:val="0"/>
          <w:sz w:val="22"/>
          <w:szCs w:val="22"/>
          <w14:ligatures w14:val="none"/>
        </w:rPr>
      </w:pPr>
      <w:r w:rsidRPr="008F1B84">
        <w:rPr>
          <w:color w:val="151515"/>
          <w:sz w:val="22"/>
          <w:szCs w:val="22"/>
        </w:rPr>
        <w:t xml:space="preserve">Mots clé : </w:t>
      </w:r>
      <w:r w:rsidRPr="008F1B84">
        <w:rPr>
          <w:rFonts w:ascii="Times New Roman" w:eastAsia="Times New Roman" w:hAnsi="Times New Roman" w:cs="Times New Roman"/>
          <w:color w:val="151515"/>
          <w:kern w:val="0"/>
          <w:sz w:val="22"/>
          <w:szCs w:val="22"/>
          <w14:ligatures w14:val="none"/>
        </w:rPr>
        <w:t>formation de formateurs ; accessibilité ; espace capacitant ; contexte ; ressources</w:t>
      </w:r>
    </w:p>
    <w:p w:rsidR="00E90641" w:rsidRDefault="00E90641" w:rsidP="008F1B84">
      <w:pPr>
        <w:jc w:val="both"/>
        <w:rPr>
          <w:rFonts w:ascii="Times New Roman" w:eastAsia="Times New Roman" w:hAnsi="Times New Roman" w:cs="Times New Roman"/>
          <w:color w:val="151515"/>
          <w:kern w:val="0"/>
          <w:sz w:val="22"/>
          <w:szCs w:val="22"/>
          <w14:ligatures w14:val="none"/>
        </w:rPr>
      </w:pPr>
    </w:p>
    <w:p w:rsidR="008F1B84" w:rsidRDefault="008F1B84" w:rsidP="008F1B84">
      <w:pPr>
        <w:pStyle w:val="NormalWeb"/>
        <w:shd w:val="clear" w:color="auto" w:fill="FFFFFF"/>
        <w:spacing w:before="0" w:beforeAutospacing="0" w:after="0" w:afterAutospacing="0"/>
        <w:jc w:val="both"/>
        <w:rPr>
          <w:color w:val="151515"/>
          <w:sz w:val="18"/>
          <w:szCs w:val="18"/>
        </w:rPr>
      </w:pPr>
    </w:p>
    <w:p w:rsidR="008F1B84" w:rsidRPr="000E5836" w:rsidRDefault="008F1B84" w:rsidP="000E5836">
      <w:pPr>
        <w:pBdr>
          <w:top w:val="single" w:sz="4" w:space="1" w:color="auto"/>
          <w:left w:val="single" w:sz="4" w:space="4" w:color="auto"/>
          <w:bottom w:val="single" w:sz="4" w:space="1" w:color="auto"/>
          <w:right w:val="single" w:sz="4" w:space="4" w:color="auto"/>
        </w:pBdr>
        <w:rPr>
          <w:b/>
          <w:bCs/>
          <w:color w:val="0070C0"/>
        </w:rPr>
      </w:pPr>
      <w:r w:rsidRPr="000E5836">
        <w:rPr>
          <w:b/>
          <w:bCs/>
          <w:color w:val="0070C0"/>
        </w:rPr>
        <w:t>Audrey Noël</w:t>
      </w:r>
    </w:p>
    <w:p w:rsidR="000E5836" w:rsidRPr="000E5836" w:rsidRDefault="000E5836" w:rsidP="000E5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color w:val="0070C0"/>
          <w:shd w:val="clear" w:color="auto" w:fill="FFFFFF"/>
        </w:rPr>
      </w:pPr>
      <w:r w:rsidRPr="000E5836">
        <w:rPr>
          <w:color w:val="0070C0"/>
          <w:shd w:val="clear" w:color="auto" w:fill="FFFFFF"/>
        </w:rPr>
        <w:t xml:space="preserve">Handicap invisible et inclusion dans l'enseignement supérieur : quels enjeux ? </w:t>
      </w:r>
    </w:p>
    <w:p w:rsidR="000E5836" w:rsidRPr="000E5836" w:rsidRDefault="000E5836" w:rsidP="000E5836">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color w:val="0070C0"/>
          <w:shd w:val="clear" w:color="auto" w:fill="FFFFFF"/>
        </w:rPr>
      </w:pPr>
      <w:r w:rsidRPr="000E5836">
        <w:rPr>
          <w:color w:val="0070C0"/>
          <w:shd w:val="clear" w:color="auto" w:fill="FFFFFF"/>
        </w:rPr>
        <w:t xml:space="preserve">Récits croisés des </w:t>
      </w:r>
      <w:proofErr w:type="spellStart"/>
      <w:r w:rsidRPr="000E5836">
        <w:rPr>
          <w:color w:val="0070C0"/>
          <w:shd w:val="clear" w:color="auto" w:fill="FFFFFF"/>
        </w:rPr>
        <w:t>premièr·es</w:t>
      </w:r>
      <w:proofErr w:type="spellEnd"/>
      <w:r w:rsidRPr="000E5836">
        <w:rPr>
          <w:color w:val="0070C0"/>
          <w:shd w:val="clear" w:color="auto" w:fill="FFFFFF"/>
        </w:rPr>
        <w:t xml:space="preserve"> </w:t>
      </w:r>
      <w:proofErr w:type="spellStart"/>
      <w:r w:rsidRPr="000E5836">
        <w:rPr>
          <w:color w:val="0070C0"/>
          <w:shd w:val="clear" w:color="auto" w:fill="FFFFFF"/>
        </w:rPr>
        <w:t>concerné·es</w:t>
      </w:r>
      <w:proofErr w:type="spellEnd"/>
    </w:p>
    <w:p w:rsidR="008F1B84" w:rsidRDefault="000E5836" w:rsidP="008F1B84">
      <w:pPr>
        <w:pStyle w:val="NormalWeb"/>
        <w:rPr>
          <w:rFonts w:ascii="CMR10" w:hAnsi="CMR10"/>
          <w:sz w:val="22"/>
          <w:szCs w:val="22"/>
        </w:rPr>
      </w:pPr>
      <w:r>
        <w:rPr>
          <w:b/>
          <w:bCs/>
          <w:sz w:val="22"/>
          <w:szCs w:val="22"/>
        </w:rPr>
        <w:t>A</w:t>
      </w:r>
      <w:r w:rsidR="00C56C44" w:rsidRPr="008F1B84">
        <w:rPr>
          <w:b/>
          <w:bCs/>
          <w:sz w:val="22"/>
          <w:szCs w:val="22"/>
        </w:rPr>
        <w:t>udrey N</w:t>
      </w:r>
      <w:r w:rsidR="008F1B84" w:rsidRPr="008F1B84">
        <w:rPr>
          <w:b/>
          <w:bCs/>
          <w:sz w:val="22"/>
          <w:szCs w:val="22"/>
        </w:rPr>
        <w:t>OEL</w:t>
      </w:r>
      <w:r w:rsidR="008F1B84" w:rsidRPr="008F1B84">
        <w:rPr>
          <w:sz w:val="22"/>
          <w:szCs w:val="22"/>
        </w:rPr>
        <w:t xml:space="preserve"> est maîtresse de conférences en sciences du langage au sein du département d’études créoles de l’Université de La Réunion. Elle est membre du </w:t>
      </w:r>
      <w:r w:rsidR="008F1B84" w:rsidRPr="008F1B84">
        <w:rPr>
          <w:rFonts w:ascii="CMR10" w:hAnsi="CMR10"/>
          <w:sz w:val="22"/>
          <w:szCs w:val="22"/>
        </w:rPr>
        <w:t>Laboratoire de recherche sur les espaces cr</w:t>
      </w:r>
      <w:r w:rsidR="008F1B84" w:rsidRPr="008F1B84">
        <w:rPr>
          <w:rFonts w:ascii="CMR10" w:hAnsi="CMR10"/>
          <w:sz w:val="22"/>
          <w:szCs w:val="22"/>
        </w:rPr>
        <w:t>é</w:t>
      </w:r>
      <w:r w:rsidR="008F1B84" w:rsidRPr="008F1B84">
        <w:rPr>
          <w:rFonts w:ascii="CMR10" w:hAnsi="CMR10"/>
          <w:sz w:val="22"/>
          <w:szCs w:val="22"/>
        </w:rPr>
        <w:t>oles et francophones</w:t>
      </w:r>
      <w:r w:rsidR="008F1B84" w:rsidRPr="008F1B84">
        <w:rPr>
          <w:rFonts w:ascii="CMR10" w:hAnsi="CMR10"/>
          <w:sz w:val="22"/>
          <w:szCs w:val="22"/>
        </w:rPr>
        <w:t xml:space="preserve"> (LCF)</w:t>
      </w:r>
      <w:r w:rsidR="008F1B84" w:rsidRPr="008F1B84">
        <w:rPr>
          <w:rFonts w:ascii="CMR10" w:hAnsi="CMR10"/>
          <w:sz w:val="22"/>
          <w:szCs w:val="22"/>
        </w:rPr>
        <w:t xml:space="preserve"> </w:t>
      </w:r>
      <w:r w:rsidR="008F1B84" w:rsidRPr="008F1B84">
        <w:rPr>
          <w:rFonts w:ascii="CMR10" w:hAnsi="CMR10"/>
          <w:sz w:val="22"/>
          <w:szCs w:val="22"/>
        </w:rPr>
        <w:t>de l’Université de La Réunion.</w:t>
      </w:r>
    </w:p>
    <w:p w:rsidR="000E5836" w:rsidRPr="000E5836" w:rsidRDefault="000E5836" w:rsidP="000E5836">
      <w:pPr>
        <w:pStyle w:val="NormalWeb"/>
        <w:shd w:val="clear" w:color="auto" w:fill="FFFFFF"/>
        <w:spacing w:before="0" w:beforeAutospacing="0" w:after="0" w:afterAutospacing="0"/>
        <w:rPr>
          <w:b/>
          <w:bCs/>
          <w:color w:val="151515"/>
          <w:sz w:val="22"/>
          <w:szCs w:val="22"/>
          <w:shd w:val="clear" w:color="auto" w:fill="FFFFFF"/>
        </w:rPr>
      </w:pPr>
      <w:r w:rsidRPr="000E5836">
        <w:rPr>
          <w:b/>
          <w:bCs/>
          <w:color w:val="151515"/>
          <w:sz w:val="22"/>
          <w:szCs w:val="22"/>
          <w:shd w:val="clear" w:color="auto" w:fill="FFFFFF"/>
        </w:rPr>
        <w:t xml:space="preserve">Handicap invisible et inclusion dans l'enseignement supérieur : quels enjeux ? </w:t>
      </w:r>
    </w:p>
    <w:p w:rsidR="000E5836" w:rsidRPr="000E5836" w:rsidRDefault="000E5836" w:rsidP="000E5836">
      <w:pPr>
        <w:pStyle w:val="NormalWeb"/>
        <w:shd w:val="clear" w:color="auto" w:fill="FFFFFF"/>
        <w:spacing w:before="0" w:beforeAutospacing="0" w:after="0" w:afterAutospacing="0"/>
        <w:rPr>
          <w:b/>
          <w:bCs/>
          <w:color w:val="151515"/>
          <w:sz w:val="22"/>
          <w:szCs w:val="22"/>
          <w:shd w:val="clear" w:color="auto" w:fill="FFFFFF"/>
        </w:rPr>
      </w:pPr>
      <w:r w:rsidRPr="000E5836">
        <w:rPr>
          <w:b/>
          <w:bCs/>
          <w:color w:val="151515"/>
          <w:sz w:val="22"/>
          <w:szCs w:val="22"/>
          <w:shd w:val="clear" w:color="auto" w:fill="FFFFFF"/>
        </w:rPr>
        <w:t xml:space="preserve">Récits croisés des </w:t>
      </w:r>
      <w:proofErr w:type="spellStart"/>
      <w:r w:rsidRPr="000E5836">
        <w:rPr>
          <w:b/>
          <w:bCs/>
          <w:color w:val="151515"/>
          <w:sz w:val="22"/>
          <w:szCs w:val="22"/>
          <w:shd w:val="clear" w:color="auto" w:fill="FFFFFF"/>
        </w:rPr>
        <w:t>premièr·es</w:t>
      </w:r>
      <w:proofErr w:type="spellEnd"/>
      <w:r w:rsidRPr="000E5836">
        <w:rPr>
          <w:b/>
          <w:bCs/>
          <w:color w:val="151515"/>
          <w:sz w:val="22"/>
          <w:szCs w:val="22"/>
          <w:shd w:val="clear" w:color="auto" w:fill="FFFFFF"/>
        </w:rPr>
        <w:t xml:space="preserve"> </w:t>
      </w:r>
      <w:proofErr w:type="spellStart"/>
      <w:r w:rsidRPr="000E5836">
        <w:rPr>
          <w:b/>
          <w:bCs/>
          <w:color w:val="151515"/>
          <w:sz w:val="22"/>
          <w:szCs w:val="22"/>
          <w:shd w:val="clear" w:color="auto" w:fill="FFFFFF"/>
        </w:rPr>
        <w:t>concerné·es</w:t>
      </w:r>
      <w:proofErr w:type="spellEnd"/>
    </w:p>
    <w:p w:rsidR="000E5836" w:rsidRPr="000E5836" w:rsidRDefault="000E5836" w:rsidP="000E5836">
      <w:pPr>
        <w:pStyle w:val="NormalWeb"/>
        <w:shd w:val="clear" w:color="auto" w:fill="FFFFFF"/>
        <w:spacing w:before="0" w:beforeAutospacing="0" w:after="0" w:afterAutospacing="0"/>
        <w:rPr>
          <w:color w:val="151515"/>
          <w:sz w:val="22"/>
          <w:szCs w:val="22"/>
          <w:shd w:val="clear" w:color="auto" w:fill="FFFFFF"/>
        </w:rPr>
      </w:pPr>
    </w:p>
    <w:p w:rsidR="000E5836" w:rsidRPr="000E5836" w:rsidRDefault="000E5836" w:rsidP="000E5836">
      <w:pPr>
        <w:pStyle w:val="NormalWeb"/>
        <w:shd w:val="clear" w:color="auto" w:fill="FFFFFF"/>
        <w:spacing w:before="0" w:beforeAutospacing="0" w:after="0" w:afterAutospacing="0"/>
        <w:rPr>
          <w:color w:val="151515"/>
          <w:sz w:val="22"/>
          <w:szCs w:val="22"/>
        </w:rPr>
      </w:pPr>
      <w:r w:rsidRPr="000E5836">
        <w:rPr>
          <w:color w:val="151515"/>
          <w:sz w:val="22"/>
          <w:szCs w:val="22"/>
        </w:rPr>
        <w:t>Alors que les universités développent des politiques en faveur de l'inclusion, permettant la poursuite d'études, l'accès et le maintien en emploi des personnes en situation de handicap (SH), certaines données statistiques montrent que des freins persistent.</w:t>
      </w:r>
    </w:p>
    <w:p w:rsidR="000E5836" w:rsidRPr="000E5836" w:rsidRDefault="000E5836" w:rsidP="000E5836">
      <w:pPr>
        <w:pStyle w:val="NormalWeb"/>
        <w:shd w:val="clear" w:color="auto" w:fill="FFFFFF"/>
        <w:spacing w:before="0" w:beforeAutospacing="0" w:after="0" w:afterAutospacing="0"/>
        <w:rPr>
          <w:color w:val="151515"/>
          <w:sz w:val="22"/>
          <w:szCs w:val="22"/>
        </w:rPr>
      </w:pPr>
      <w:r w:rsidRPr="000E5836">
        <w:rPr>
          <w:color w:val="151515"/>
          <w:sz w:val="22"/>
          <w:szCs w:val="22"/>
        </w:rPr>
        <w:t>Ainsi, l'augmentation du nombre d'</w:t>
      </w:r>
      <w:proofErr w:type="spellStart"/>
      <w:r w:rsidRPr="000E5836">
        <w:rPr>
          <w:color w:val="151515"/>
          <w:sz w:val="22"/>
          <w:szCs w:val="22"/>
        </w:rPr>
        <w:t>étudiant·es</w:t>
      </w:r>
      <w:proofErr w:type="spellEnd"/>
      <w:r w:rsidRPr="000E5836">
        <w:rPr>
          <w:color w:val="151515"/>
          <w:sz w:val="22"/>
          <w:szCs w:val="22"/>
        </w:rPr>
        <w:t xml:space="preserve"> en SH est constante depuis plusieurs années (6000 </w:t>
      </w:r>
      <w:proofErr w:type="spellStart"/>
      <w:proofErr w:type="gramStart"/>
      <w:r w:rsidRPr="000E5836">
        <w:rPr>
          <w:color w:val="151515"/>
          <w:sz w:val="22"/>
          <w:szCs w:val="22"/>
        </w:rPr>
        <w:t>étudiant</w:t>
      </w:r>
      <w:proofErr w:type="gramEnd"/>
      <w:r w:rsidRPr="000E5836">
        <w:rPr>
          <w:color w:val="151515"/>
          <w:sz w:val="22"/>
          <w:szCs w:val="22"/>
        </w:rPr>
        <w:t>·es</w:t>
      </w:r>
      <w:proofErr w:type="spellEnd"/>
      <w:r w:rsidRPr="000E5836">
        <w:rPr>
          <w:color w:val="151515"/>
          <w:sz w:val="22"/>
          <w:szCs w:val="22"/>
        </w:rPr>
        <w:t xml:space="preserve"> en SH </w:t>
      </w:r>
      <w:proofErr w:type="spellStart"/>
      <w:r w:rsidRPr="000E5836">
        <w:rPr>
          <w:color w:val="151515"/>
          <w:sz w:val="22"/>
          <w:szCs w:val="22"/>
        </w:rPr>
        <w:t>inscrit·es</w:t>
      </w:r>
      <w:proofErr w:type="spellEnd"/>
      <w:r w:rsidRPr="000E5836">
        <w:rPr>
          <w:color w:val="151515"/>
          <w:sz w:val="22"/>
          <w:szCs w:val="22"/>
        </w:rPr>
        <w:t xml:space="preserve"> à l'université en 2003, plus de 55 000 en 2023 ; MESR &amp; DGESIP, 2025). De fait, les demandes d'aménagements sont exponentielles et leur application peut être entravée par des contraintes diverses (limitation des moyens humains, techniques comme financiers). Le taux de réussite des </w:t>
      </w:r>
      <w:proofErr w:type="spellStart"/>
      <w:r w:rsidRPr="000E5836">
        <w:rPr>
          <w:color w:val="151515"/>
          <w:sz w:val="22"/>
          <w:szCs w:val="22"/>
        </w:rPr>
        <w:t>étudiant·es</w:t>
      </w:r>
      <w:proofErr w:type="spellEnd"/>
      <w:r w:rsidRPr="000E5836">
        <w:rPr>
          <w:color w:val="151515"/>
          <w:sz w:val="22"/>
          <w:szCs w:val="22"/>
        </w:rPr>
        <w:t xml:space="preserve"> en SH, plus bas que celui des </w:t>
      </w:r>
      <w:proofErr w:type="spellStart"/>
      <w:r w:rsidRPr="000E5836">
        <w:rPr>
          <w:color w:val="151515"/>
          <w:sz w:val="22"/>
          <w:szCs w:val="22"/>
        </w:rPr>
        <w:t>étudiant·es</w:t>
      </w:r>
      <w:proofErr w:type="spellEnd"/>
      <w:r w:rsidRPr="000E5836">
        <w:rPr>
          <w:color w:val="151515"/>
          <w:sz w:val="22"/>
          <w:szCs w:val="22"/>
        </w:rPr>
        <w:t xml:space="preserve"> sans handicap reconnu, interroge également l'efficacité des mesures en vigueur : comment penser un dispositif inclusif permettant la pleine réussite ?</w:t>
      </w:r>
    </w:p>
    <w:p w:rsidR="000E5836" w:rsidRPr="000E5836" w:rsidRDefault="000E5836" w:rsidP="000E5836">
      <w:pPr>
        <w:pStyle w:val="NormalWeb"/>
        <w:shd w:val="clear" w:color="auto" w:fill="FFFFFF"/>
        <w:spacing w:before="0" w:beforeAutospacing="0" w:after="0" w:afterAutospacing="0"/>
        <w:rPr>
          <w:color w:val="151515"/>
          <w:sz w:val="22"/>
          <w:szCs w:val="22"/>
        </w:rPr>
      </w:pPr>
      <w:r w:rsidRPr="000E5836">
        <w:rPr>
          <w:color w:val="151515"/>
          <w:sz w:val="22"/>
          <w:szCs w:val="22"/>
        </w:rPr>
        <w:t> </w:t>
      </w:r>
    </w:p>
    <w:p w:rsidR="000E5836" w:rsidRPr="000E5836" w:rsidRDefault="000E5836" w:rsidP="000E5836">
      <w:pPr>
        <w:pStyle w:val="NormalWeb"/>
        <w:shd w:val="clear" w:color="auto" w:fill="FFFFFF"/>
        <w:spacing w:before="0" w:beforeAutospacing="0" w:after="0" w:afterAutospacing="0"/>
        <w:rPr>
          <w:color w:val="151515"/>
          <w:sz w:val="22"/>
          <w:szCs w:val="22"/>
        </w:rPr>
      </w:pPr>
      <w:r w:rsidRPr="000E5836">
        <w:rPr>
          <w:color w:val="151515"/>
          <w:sz w:val="22"/>
          <w:szCs w:val="22"/>
        </w:rPr>
        <w:t xml:space="preserve">Par ailleurs, les établissements de l'enseignement supérieur parviennent parfois difficilement à atteindre l'obligation légale d'emploi de personnels en SH, en particulier dans le corps enseignant. </w:t>
      </w:r>
      <w:r w:rsidRPr="000E5836">
        <w:rPr>
          <w:color w:val="151515"/>
          <w:sz w:val="22"/>
          <w:szCs w:val="22"/>
        </w:rPr>
        <w:lastRenderedPageBreak/>
        <w:t xml:space="preserve">Certaines recherches mettent en évidence une autocensure de ces </w:t>
      </w:r>
      <w:proofErr w:type="spellStart"/>
      <w:r w:rsidRPr="000E5836">
        <w:rPr>
          <w:color w:val="151515"/>
          <w:sz w:val="22"/>
          <w:szCs w:val="22"/>
        </w:rPr>
        <w:t>dernièr·es</w:t>
      </w:r>
      <w:proofErr w:type="spellEnd"/>
      <w:r w:rsidRPr="000E5836">
        <w:rPr>
          <w:color w:val="151515"/>
          <w:sz w:val="22"/>
          <w:szCs w:val="22"/>
        </w:rPr>
        <w:t xml:space="preserve"> à quant à la déclaration de leur handicap (</w:t>
      </w:r>
      <w:proofErr w:type="spellStart"/>
      <w:r w:rsidRPr="000E5836">
        <w:rPr>
          <w:color w:val="151515"/>
          <w:sz w:val="22"/>
          <w:szCs w:val="22"/>
        </w:rPr>
        <w:t>Grüber</w:t>
      </w:r>
      <w:proofErr w:type="spellEnd"/>
      <w:r w:rsidRPr="000E5836">
        <w:rPr>
          <w:color w:val="151515"/>
          <w:sz w:val="22"/>
          <w:szCs w:val="22"/>
        </w:rPr>
        <w:t>, 2022). </w:t>
      </w:r>
    </w:p>
    <w:p w:rsidR="000E5836" w:rsidRPr="000E5836" w:rsidRDefault="000E5836" w:rsidP="000E5836">
      <w:pPr>
        <w:pStyle w:val="NormalWeb"/>
        <w:shd w:val="clear" w:color="auto" w:fill="FFFFFF"/>
        <w:spacing w:before="0" w:beforeAutospacing="0" w:after="0" w:afterAutospacing="0"/>
        <w:rPr>
          <w:color w:val="151515"/>
          <w:sz w:val="22"/>
          <w:szCs w:val="22"/>
        </w:rPr>
      </w:pPr>
      <w:r w:rsidRPr="000E5836">
        <w:rPr>
          <w:color w:val="151515"/>
          <w:sz w:val="22"/>
          <w:szCs w:val="22"/>
        </w:rPr>
        <w:t>Comment mieux comprendre ces phénomènes ? Dans le cadre de cette communication, nous nous appuierons sur les récits de vie de personnes en SH évoluant ou ayant évolué dans l'enseignement supérieur en tant qu'</w:t>
      </w:r>
      <w:proofErr w:type="spellStart"/>
      <w:r w:rsidRPr="000E5836">
        <w:rPr>
          <w:color w:val="151515"/>
          <w:sz w:val="22"/>
          <w:szCs w:val="22"/>
        </w:rPr>
        <w:t>étudiant·es</w:t>
      </w:r>
      <w:proofErr w:type="spellEnd"/>
      <w:r w:rsidRPr="000E5836">
        <w:rPr>
          <w:color w:val="151515"/>
          <w:sz w:val="22"/>
          <w:szCs w:val="22"/>
        </w:rPr>
        <w:t xml:space="preserve"> ou personnels. Les récits collectés permettent de mieux saisir les freins, internes comme externes, qui poussent les </w:t>
      </w:r>
      <w:proofErr w:type="spellStart"/>
      <w:r w:rsidRPr="000E5836">
        <w:rPr>
          <w:color w:val="151515"/>
          <w:sz w:val="22"/>
          <w:szCs w:val="22"/>
        </w:rPr>
        <w:t>premièr·es</w:t>
      </w:r>
      <w:proofErr w:type="spellEnd"/>
      <w:r w:rsidRPr="000E5836">
        <w:rPr>
          <w:color w:val="151515"/>
          <w:sz w:val="22"/>
          <w:szCs w:val="22"/>
        </w:rPr>
        <w:t xml:space="preserve"> </w:t>
      </w:r>
      <w:proofErr w:type="spellStart"/>
      <w:r w:rsidRPr="000E5836">
        <w:rPr>
          <w:color w:val="151515"/>
          <w:sz w:val="22"/>
          <w:szCs w:val="22"/>
        </w:rPr>
        <w:t>concerné·es</w:t>
      </w:r>
      <w:proofErr w:type="spellEnd"/>
      <w:r w:rsidRPr="000E5836">
        <w:rPr>
          <w:color w:val="151515"/>
          <w:sz w:val="22"/>
          <w:szCs w:val="22"/>
        </w:rPr>
        <w:t xml:space="preserve"> à cacher leur handicap, à renoncer à la demande d'aménagements ou à renoncer à protester en cas de non application de ces derniers. Le handicap invisible est le point commun des </w:t>
      </w:r>
      <w:proofErr w:type="spellStart"/>
      <w:r w:rsidRPr="000E5836">
        <w:rPr>
          <w:color w:val="151515"/>
          <w:sz w:val="22"/>
          <w:szCs w:val="22"/>
        </w:rPr>
        <w:t>enquêté·es</w:t>
      </w:r>
      <w:proofErr w:type="spellEnd"/>
      <w:r w:rsidRPr="000E5836">
        <w:rPr>
          <w:color w:val="151515"/>
          <w:sz w:val="22"/>
          <w:szCs w:val="22"/>
        </w:rPr>
        <w:t xml:space="preserve"> de notre étude, ce qui pose la question du dévoilement du handicap et de ses implications. Nous nous poserons aussi la question de l'impact des représentations (Jodelet, 1989) et des spécificités (socioculturelles, sociolinguistiques) du territoire réunionnais sur les parcours de vie des </w:t>
      </w:r>
      <w:proofErr w:type="spellStart"/>
      <w:r w:rsidRPr="000E5836">
        <w:rPr>
          <w:color w:val="151515"/>
          <w:sz w:val="22"/>
          <w:szCs w:val="22"/>
        </w:rPr>
        <w:t>enquêté·es</w:t>
      </w:r>
      <w:proofErr w:type="spellEnd"/>
      <w:r w:rsidRPr="000E5836">
        <w:rPr>
          <w:color w:val="151515"/>
          <w:sz w:val="22"/>
          <w:szCs w:val="22"/>
        </w:rPr>
        <w:t>.</w:t>
      </w:r>
    </w:p>
    <w:p w:rsidR="00E90641" w:rsidRDefault="000E5836" w:rsidP="000E5836">
      <w:pPr>
        <w:pStyle w:val="NormalWeb"/>
        <w:rPr>
          <w:sz w:val="22"/>
          <w:szCs w:val="22"/>
        </w:rPr>
      </w:pPr>
      <w:r w:rsidRPr="000E5836">
        <w:rPr>
          <w:sz w:val="22"/>
          <w:szCs w:val="22"/>
        </w:rPr>
        <w:t>Mots-</w:t>
      </w:r>
      <w:proofErr w:type="gramStart"/>
      <w:r w:rsidRPr="000E5836">
        <w:rPr>
          <w:sz w:val="22"/>
          <w:szCs w:val="22"/>
        </w:rPr>
        <w:t>Clés:</w:t>
      </w:r>
      <w:proofErr w:type="gramEnd"/>
      <w:r w:rsidRPr="000E5836">
        <w:rPr>
          <w:sz w:val="22"/>
          <w:szCs w:val="22"/>
        </w:rPr>
        <w:t xml:space="preserve"> inclusion, handicap invisible, récits de vie, représentations</w:t>
      </w:r>
    </w:p>
    <w:p w:rsidR="00E90641" w:rsidRDefault="00E90641" w:rsidP="000E5836">
      <w:pPr>
        <w:pStyle w:val="NormalWeb"/>
        <w:rPr>
          <w:sz w:val="22"/>
          <w:szCs w:val="22"/>
        </w:rPr>
      </w:pPr>
    </w:p>
    <w:p w:rsidR="00E90641" w:rsidRPr="00E90641" w:rsidRDefault="00E90641" w:rsidP="00E90641">
      <w:pPr>
        <w:pBdr>
          <w:top w:val="single" w:sz="4" w:space="1" w:color="auto"/>
          <w:left w:val="single" w:sz="4" w:space="4" w:color="auto"/>
          <w:bottom w:val="single" w:sz="4" w:space="1" w:color="auto"/>
          <w:right w:val="single" w:sz="4" w:space="4" w:color="auto"/>
        </w:pBdr>
        <w:rPr>
          <w:b/>
          <w:bCs/>
          <w:color w:val="0070C0"/>
          <w:sz w:val="22"/>
          <w:szCs w:val="22"/>
        </w:rPr>
      </w:pPr>
      <w:r w:rsidRPr="00E90641">
        <w:rPr>
          <w:b/>
          <w:bCs/>
          <w:color w:val="0070C0"/>
          <w:sz w:val="22"/>
          <w:szCs w:val="22"/>
        </w:rPr>
        <w:t xml:space="preserve">Liliane Pelletier et Chloé </w:t>
      </w:r>
      <w:proofErr w:type="spellStart"/>
      <w:r w:rsidRPr="00E90641">
        <w:rPr>
          <w:b/>
          <w:bCs/>
          <w:color w:val="0070C0"/>
          <w:sz w:val="22"/>
          <w:szCs w:val="22"/>
        </w:rPr>
        <w:t>Courtot</w:t>
      </w:r>
      <w:proofErr w:type="spellEnd"/>
    </w:p>
    <w:p w:rsidR="00E90641" w:rsidRPr="00E90641" w:rsidRDefault="00E90641" w:rsidP="00E90641">
      <w:pPr>
        <w:pBdr>
          <w:top w:val="single" w:sz="4" w:space="1" w:color="auto"/>
          <w:left w:val="single" w:sz="4" w:space="4" w:color="auto"/>
          <w:bottom w:val="single" w:sz="4" w:space="1" w:color="auto"/>
          <w:right w:val="single" w:sz="4" w:space="4" w:color="auto"/>
        </w:pBdr>
        <w:rPr>
          <w:color w:val="0070C0"/>
          <w:sz w:val="22"/>
          <w:szCs w:val="22"/>
        </w:rPr>
      </w:pPr>
      <w:r w:rsidRPr="00E90641">
        <w:rPr>
          <w:color w:val="0070C0"/>
          <w:sz w:val="22"/>
          <w:szCs w:val="22"/>
        </w:rPr>
        <w:t>Quand la conception universelle rencontre le cours magistral : une expérimentation en première année de licence de sciences de l’éducation</w:t>
      </w:r>
    </w:p>
    <w:p w:rsidR="00E90641" w:rsidRPr="00E90641" w:rsidRDefault="00E90641" w:rsidP="00E90641">
      <w:pPr>
        <w:rPr>
          <w:sz w:val="22"/>
          <w:szCs w:val="22"/>
        </w:rPr>
      </w:pPr>
    </w:p>
    <w:p w:rsidR="00E90641" w:rsidRPr="00E90641" w:rsidRDefault="00E90641" w:rsidP="00E90641">
      <w:pPr>
        <w:rPr>
          <w:sz w:val="22"/>
          <w:szCs w:val="22"/>
        </w:rPr>
      </w:pPr>
      <w:r w:rsidRPr="00E90641">
        <w:rPr>
          <w:b/>
          <w:bCs/>
          <w:sz w:val="22"/>
          <w:szCs w:val="22"/>
        </w:rPr>
        <w:t>Liliane PELLETIER</w:t>
      </w:r>
      <w:r w:rsidRPr="00E90641">
        <w:rPr>
          <w:sz w:val="22"/>
          <w:szCs w:val="22"/>
        </w:rPr>
        <w:t xml:space="preserve"> est Professeure des universités en sciences de l’éducation et de la formation à l’Université Lumière Lyon 2 au sein du Laboratoire ECP. Elle étudie dans une perspective socio anthropologique les ruptures et les continuités des dynamiques inclusives de la petite enfance à l’insertion professionnelle.</w:t>
      </w:r>
    </w:p>
    <w:p w:rsidR="00E90641" w:rsidRPr="00E90641" w:rsidRDefault="00E90641" w:rsidP="00E90641">
      <w:pPr>
        <w:rPr>
          <w:sz w:val="22"/>
          <w:szCs w:val="22"/>
        </w:rPr>
      </w:pPr>
      <w:r w:rsidRPr="00E90641">
        <w:rPr>
          <w:b/>
          <w:bCs/>
          <w:sz w:val="22"/>
          <w:szCs w:val="22"/>
        </w:rPr>
        <w:t>Chloé COURTOT</w:t>
      </w:r>
      <w:r w:rsidRPr="00E90641">
        <w:rPr>
          <w:sz w:val="22"/>
          <w:szCs w:val="22"/>
        </w:rPr>
        <w:t xml:space="preserve"> est maîtresse de conférence en sciences de l’éducation et de la formation à l’</w:t>
      </w:r>
      <w:proofErr w:type="spellStart"/>
      <w:r w:rsidRPr="00E90641">
        <w:rPr>
          <w:sz w:val="22"/>
          <w:szCs w:val="22"/>
        </w:rPr>
        <w:t>INSPé</w:t>
      </w:r>
      <w:proofErr w:type="spellEnd"/>
      <w:r w:rsidRPr="00E90641">
        <w:rPr>
          <w:sz w:val="22"/>
          <w:szCs w:val="22"/>
        </w:rPr>
        <w:t xml:space="preserve"> Clermont Auvergne au sein du Laboratoire </w:t>
      </w:r>
      <w:proofErr w:type="spellStart"/>
      <w:r w:rsidRPr="00E90641">
        <w:rPr>
          <w:sz w:val="22"/>
          <w:szCs w:val="22"/>
        </w:rPr>
        <w:t>ACTé</w:t>
      </w:r>
      <w:proofErr w:type="spellEnd"/>
      <w:r w:rsidRPr="00E90641">
        <w:rPr>
          <w:sz w:val="22"/>
          <w:szCs w:val="22"/>
        </w:rPr>
        <w:t>. Elle travaille en sociologie de l’action publique sur la réception des politiques inclusives par les parents d’enfant en situation de handicap.</w:t>
      </w:r>
    </w:p>
    <w:p w:rsidR="00E90641" w:rsidRPr="00E90641" w:rsidRDefault="00E90641" w:rsidP="00E90641">
      <w:pPr>
        <w:rPr>
          <w:sz w:val="22"/>
          <w:szCs w:val="22"/>
        </w:rPr>
      </w:pPr>
    </w:p>
    <w:p w:rsidR="00E90641" w:rsidRPr="00E90641" w:rsidRDefault="00E90641" w:rsidP="00E90641">
      <w:pPr>
        <w:rPr>
          <w:b/>
          <w:bCs/>
          <w:sz w:val="22"/>
          <w:szCs w:val="22"/>
        </w:rPr>
      </w:pPr>
      <w:r w:rsidRPr="00E90641">
        <w:rPr>
          <w:b/>
          <w:bCs/>
          <w:sz w:val="22"/>
          <w:szCs w:val="22"/>
        </w:rPr>
        <w:t>Quand la conception universelle rencontre le cours magistral : une expérimentation en première année de licence de sciences de l’éducation</w:t>
      </w:r>
    </w:p>
    <w:p w:rsidR="00E90641" w:rsidRPr="00E90641" w:rsidRDefault="00E90641" w:rsidP="00E90641">
      <w:pPr>
        <w:rPr>
          <w:sz w:val="22"/>
          <w:szCs w:val="22"/>
        </w:rPr>
      </w:pPr>
    </w:p>
    <w:p w:rsidR="00E90641" w:rsidRPr="00E90641" w:rsidRDefault="00E90641" w:rsidP="00E90641">
      <w:pPr>
        <w:rPr>
          <w:sz w:val="22"/>
          <w:szCs w:val="22"/>
        </w:rPr>
      </w:pPr>
      <w:r w:rsidRPr="00E90641">
        <w:rPr>
          <w:sz w:val="22"/>
          <w:szCs w:val="22"/>
        </w:rPr>
        <w:t>Depuis plusieurs années, le nombre d’étudiants en situation de handicap à</w:t>
      </w:r>
      <w:r>
        <w:rPr>
          <w:sz w:val="22"/>
          <w:szCs w:val="22"/>
        </w:rPr>
        <w:t xml:space="preserve"> </w:t>
      </w:r>
      <w:r w:rsidRPr="00E90641">
        <w:rPr>
          <w:sz w:val="22"/>
          <w:szCs w:val="22"/>
        </w:rPr>
        <w:t>l’université est en augmentation (DGESIP, 2025). Cette évolution quantitative ne</w:t>
      </w:r>
      <w:r>
        <w:rPr>
          <w:sz w:val="22"/>
          <w:szCs w:val="22"/>
        </w:rPr>
        <w:t xml:space="preserve"> </w:t>
      </w:r>
      <w:r w:rsidRPr="00E90641">
        <w:rPr>
          <w:sz w:val="22"/>
          <w:szCs w:val="22"/>
        </w:rPr>
        <w:t>s’accompagne toutefois pas d’une amélioration équivalente des indicateurs de</w:t>
      </w:r>
      <w:r>
        <w:rPr>
          <w:sz w:val="22"/>
          <w:szCs w:val="22"/>
        </w:rPr>
        <w:t xml:space="preserve"> </w:t>
      </w:r>
      <w:r w:rsidRPr="00E90641">
        <w:rPr>
          <w:sz w:val="22"/>
          <w:szCs w:val="22"/>
        </w:rPr>
        <w:t>réussite et de persévérance (ibid.), interrogeant la capacité de l’université à</w:t>
      </w:r>
      <w:r>
        <w:rPr>
          <w:sz w:val="22"/>
          <w:szCs w:val="22"/>
        </w:rPr>
        <w:t xml:space="preserve"> </w:t>
      </w:r>
      <w:r w:rsidRPr="00E90641">
        <w:rPr>
          <w:sz w:val="22"/>
          <w:szCs w:val="22"/>
        </w:rPr>
        <w:t>répondre à la diversité des publics (Garcia et al., 2021). L’université se confronte</w:t>
      </w:r>
      <w:r>
        <w:rPr>
          <w:sz w:val="22"/>
          <w:szCs w:val="22"/>
        </w:rPr>
        <w:t xml:space="preserve"> </w:t>
      </w:r>
      <w:r w:rsidRPr="00E90641">
        <w:rPr>
          <w:sz w:val="22"/>
          <w:szCs w:val="22"/>
        </w:rPr>
        <w:t>ainsi à un enjeu majeur : repenser ses pratiques pédagogiques pour proposer</w:t>
      </w:r>
      <w:r>
        <w:rPr>
          <w:sz w:val="22"/>
          <w:szCs w:val="22"/>
        </w:rPr>
        <w:t xml:space="preserve"> </w:t>
      </w:r>
      <w:r w:rsidRPr="00E90641">
        <w:rPr>
          <w:sz w:val="22"/>
          <w:szCs w:val="22"/>
        </w:rPr>
        <w:t>des environnements</w:t>
      </w:r>
      <w:r>
        <w:rPr>
          <w:sz w:val="22"/>
          <w:szCs w:val="22"/>
        </w:rPr>
        <w:t xml:space="preserve"> </w:t>
      </w:r>
      <w:r w:rsidRPr="00E90641">
        <w:rPr>
          <w:sz w:val="22"/>
          <w:szCs w:val="22"/>
        </w:rPr>
        <w:t>d’apprentissage réellement accessibles à tous.</w:t>
      </w:r>
    </w:p>
    <w:p w:rsidR="00E90641" w:rsidRPr="00E90641" w:rsidRDefault="00E90641" w:rsidP="00E90641">
      <w:pPr>
        <w:rPr>
          <w:sz w:val="22"/>
          <w:szCs w:val="22"/>
        </w:rPr>
      </w:pPr>
      <w:r w:rsidRPr="00E90641">
        <w:rPr>
          <w:sz w:val="22"/>
          <w:szCs w:val="22"/>
        </w:rPr>
        <w:t>La première année de licence, transition entre le secondaire et le supérieur,</w:t>
      </w:r>
      <w:r>
        <w:rPr>
          <w:sz w:val="22"/>
          <w:szCs w:val="22"/>
        </w:rPr>
        <w:t xml:space="preserve"> </w:t>
      </w:r>
      <w:r w:rsidRPr="00E90641">
        <w:rPr>
          <w:sz w:val="22"/>
          <w:szCs w:val="22"/>
        </w:rPr>
        <w:t>constitue une période de vulnérabilités (</w:t>
      </w:r>
      <w:proofErr w:type="spellStart"/>
      <w:r w:rsidRPr="00E90641">
        <w:rPr>
          <w:sz w:val="22"/>
          <w:szCs w:val="22"/>
        </w:rPr>
        <w:t>Bettendorff</w:t>
      </w:r>
      <w:proofErr w:type="spellEnd"/>
      <w:r w:rsidRPr="00E90641">
        <w:rPr>
          <w:sz w:val="22"/>
          <w:szCs w:val="22"/>
        </w:rPr>
        <w:t xml:space="preserve"> et al., 2024), susceptible de</w:t>
      </w:r>
      <w:r>
        <w:rPr>
          <w:sz w:val="22"/>
          <w:szCs w:val="22"/>
        </w:rPr>
        <w:t xml:space="preserve"> </w:t>
      </w:r>
      <w:r w:rsidRPr="00E90641">
        <w:rPr>
          <w:sz w:val="22"/>
          <w:szCs w:val="22"/>
        </w:rPr>
        <w:t>conduire à la réorientation ou à l’interruption des études (</w:t>
      </w:r>
      <w:proofErr w:type="spellStart"/>
      <w:r w:rsidRPr="00E90641">
        <w:rPr>
          <w:sz w:val="22"/>
          <w:szCs w:val="22"/>
        </w:rPr>
        <w:t>Zaffran</w:t>
      </w:r>
      <w:proofErr w:type="spellEnd"/>
      <w:r w:rsidRPr="00E90641">
        <w:rPr>
          <w:sz w:val="22"/>
          <w:szCs w:val="22"/>
        </w:rPr>
        <w:t xml:space="preserve"> et Aigle, 2020).</w:t>
      </w:r>
    </w:p>
    <w:p w:rsidR="00E90641" w:rsidRPr="00E90641" w:rsidRDefault="00E90641" w:rsidP="00E90641">
      <w:pPr>
        <w:rPr>
          <w:sz w:val="22"/>
          <w:szCs w:val="22"/>
        </w:rPr>
      </w:pPr>
      <w:r w:rsidRPr="00E90641">
        <w:rPr>
          <w:sz w:val="22"/>
          <w:szCs w:val="22"/>
        </w:rPr>
        <w:t>Répondre à cet enjeu suppose de questionner les modalités traditionnelles</w:t>
      </w:r>
      <w:r>
        <w:rPr>
          <w:sz w:val="22"/>
          <w:szCs w:val="22"/>
        </w:rPr>
        <w:t xml:space="preserve"> </w:t>
      </w:r>
      <w:r w:rsidRPr="00E90641">
        <w:rPr>
          <w:sz w:val="22"/>
          <w:szCs w:val="22"/>
        </w:rPr>
        <w:t>d’enseignement, en particulier le cours magistral (CM), dont l’organisation laisse</w:t>
      </w:r>
      <w:r>
        <w:rPr>
          <w:sz w:val="22"/>
          <w:szCs w:val="22"/>
        </w:rPr>
        <w:t xml:space="preserve"> </w:t>
      </w:r>
      <w:r w:rsidRPr="00E90641">
        <w:rPr>
          <w:sz w:val="22"/>
          <w:szCs w:val="22"/>
        </w:rPr>
        <w:t>historiquement peu de place à la différenciation pédagogique.</w:t>
      </w:r>
    </w:p>
    <w:p w:rsidR="00E90641" w:rsidRPr="00E90641" w:rsidRDefault="00E90641" w:rsidP="00E90641">
      <w:pPr>
        <w:rPr>
          <w:sz w:val="22"/>
          <w:szCs w:val="22"/>
        </w:rPr>
      </w:pPr>
      <w:r w:rsidRPr="00E90641">
        <w:rPr>
          <w:sz w:val="22"/>
          <w:szCs w:val="22"/>
        </w:rPr>
        <w:t>Inscrite dans l’axe 2, cette contribution s’appuie sur un CM dispensé en première</w:t>
      </w:r>
      <w:r>
        <w:rPr>
          <w:sz w:val="22"/>
          <w:szCs w:val="22"/>
        </w:rPr>
        <w:t xml:space="preserve"> </w:t>
      </w:r>
      <w:r w:rsidRPr="00E90641">
        <w:rPr>
          <w:sz w:val="22"/>
          <w:szCs w:val="22"/>
        </w:rPr>
        <w:t>année de licence par une ATER et une professeure des universités. Afin de</w:t>
      </w:r>
      <w:r>
        <w:rPr>
          <w:sz w:val="22"/>
          <w:szCs w:val="22"/>
        </w:rPr>
        <w:t xml:space="preserve"> </w:t>
      </w:r>
      <w:r w:rsidRPr="00E90641">
        <w:rPr>
          <w:sz w:val="22"/>
          <w:szCs w:val="22"/>
        </w:rPr>
        <w:t>favoriser la participation et la persévérance des étudiants, le dispositif repose sur</w:t>
      </w:r>
      <w:r>
        <w:rPr>
          <w:sz w:val="22"/>
          <w:szCs w:val="22"/>
        </w:rPr>
        <w:t xml:space="preserve"> </w:t>
      </w:r>
      <w:r w:rsidRPr="00E90641">
        <w:rPr>
          <w:sz w:val="22"/>
          <w:szCs w:val="22"/>
        </w:rPr>
        <w:t>les principes de la conception universelle (ONU, 2006), invitant à penser comme</w:t>
      </w:r>
      <w:r>
        <w:rPr>
          <w:sz w:val="22"/>
          <w:szCs w:val="22"/>
        </w:rPr>
        <w:t xml:space="preserve"> </w:t>
      </w:r>
      <w:r w:rsidRPr="00E90641">
        <w:rPr>
          <w:sz w:val="22"/>
          <w:szCs w:val="22"/>
        </w:rPr>
        <w:t>en architecture, en termes de plans inclinés, cette fois-ci « pédagogiques »</w:t>
      </w:r>
      <w:r>
        <w:rPr>
          <w:sz w:val="22"/>
          <w:szCs w:val="22"/>
        </w:rPr>
        <w:t xml:space="preserve"> </w:t>
      </w:r>
      <w:r w:rsidRPr="00E90641">
        <w:rPr>
          <w:sz w:val="22"/>
          <w:szCs w:val="22"/>
        </w:rPr>
        <w:t>(Benoit, 2007).</w:t>
      </w:r>
    </w:p>
    <w:p w:rsidR="00E90641" w:rsidRPr="00E90641" w:rsidRDefault="00E90641" w:rsidP="00E90641">
      <w:pPr>
        <w:rPr>
          <w:sz w:val="22"/>
          <w:szCs w:val="22"/>
        </w:rPr>
      </w:pPr>
      <w:r w:rsidRPr="00E90641">
        <w:rPr>
          <w:sz w:val="22"/>
          <w:szCs w:val="22"/>
        </w:rPr>
        <w:t>Le projet est de présenter ce dispositif d’enseignement, d’en analyser les</w:t>
      </w:r>
      <w:r>
        <w:rPr>
          <w:sz w:val="22"/>
          <w:szCs w:val="22"/>
        </w:rPr>
        <w:t xml:space="preserve"> </w:t>
      </w:r>
      <w:r w:rsidRPr="00E90641">
        <w:rPr>
          <w:sz w:val="22"/>
          <w:szCs w:val="22"/>
        </w:rPr>
        <w:t>potentiels effets et d’en interroger la pertinence au regard des objectifs</w:t>
      </w:r>
      <w:r>
        <w:rPr>
          <w:sz w:val="22"/>
          <w:szCs w:val="22"/>
        </w:rPr>
        <w:t xml:space="preserve"> </w:t>
      </w:r>
      <w:r w:rsidRPr="00E90641">
        <w:rPr>
          <w:sz w:val="22"/>
          <w:szCs w:val="22"/>
        </w:rPr>
        <w:t>d’accessibilité et de capacitation des étudiants, à partir d’un corpus de données</w:t>
      </w:r>
      <w:r>
        <w:rPr>
          <w:sz w:val="22"/>
          <w:szCs w:val="22"/>
        </w:rPr>
        <w:t xml:space="preserve"> </w:t>
      </w:r>
      <w:r w:rsidRPr="00E90641">
        <w:rPr>
          <w:sz w:val="22"/>
          <w:szCs w:val="22"/>
        </w:rPr>
        <w:t>regroupant diverses ressources pédagogiques et les résultats d’un sondage</w:t>
      </w:r>
      <w:r>
        <w:rPr>
          <w:sz w:val="22"/>
          <w:szCs w:val="22"/>
        </w:rPr>
        <w:t xml:space="preserve"> </w:t>
      </w:r>
      <w:r w:rsidRPr="00E90641">
        <w:rPr>
          <w:sz w:val="22"/>
          <w:szCs w:val="22"/>
        </w:rPr>
        <w:t>auprès des étudiants.</w:t>
      </w:r>
    </w:p>
    <w:p w:rsidR="00E90641" w:rsidRPr="00E90641" w:rsidRDefault="00E90641" w:rsidP="00E90641">
      <w:pPr>
        <w:rPr>
          <w:sz w:val="22"/>
          <w:szCs w:val="22"/>
        </w:rPr>
      </w:pPr>
      <w:r w:rsidRPr="00E90641">
        <w:rPr>
          <w:sz w:val="22"/>
          <w:szCs w:val="22"/>
        </w:rPr>
        <w:t>Les résultats obtenus interrogent les apports d’un CM interactif, du point de vue</w:t>
      </w:r>
      <w:r>
        <w:rPr>
          <w:sz w:val="22"/>
          <w:szCs w:val="22"/>
        </w:rPr>
        <w:t xml:space="preserve"> </w:t>
      </w:r>
      <w:r w:rsidRPr="00E90641">
        <w:rPr>
          <w:sz w:val="22"/>
          <w:szCs w:val="22"/>
        </w:rPr>
        <w:t>de l’engagement étudiant et de l’accessibilité des supports. En ouverture, une</w:t>
      </w:r>
      <w:r>
        <w:rPr>
          <w:sz w:val="22"/>
          <w:szCs w:val="22"/>
        </w:rPr>
        <w:t xml:space="preserve"> </w:t>
      </w:r>
      <w:r w:rsidRPr="00E90641">
        <w:rPr>
          <w:sz w:val="22"/>
          <w:szCs w:val="22"/>
        </w:rPr>
        <w:t xml:space="preserve">mise en perspective avec l’approche par </w:t>
      </w:r>
      <w:r w:rsidRPr="00E90641">
        <w:rPr>
          <w:sz w:val="22"/>
          <w:szCs w:val="22"/>
        </w:rPr>
        <w:lastRenderedPageBreak/>
        <w:t>compétences à laquelle l’université est</w:t>
      </w:r>
      <w:r>
        <w:rPr>
          <w:sz w:val="22"/>
          <w:szCs w:val="22"/>
        </w:rPr>
        <w:t xml:space="preserve"> </w:t>
      </w:r>
      <w:r w:rsidRPr="00E90641">
        <w:rPr>
          <w:sz w:val="22"/>
          <w:szCs w:val="22"/>
        </w:rPr>
        <w:t>politiquement incitée depuis quelques années permettra</w:t>
      </w:r>
      <w:r>
        <w:rPr>
          <w:sz w:val="22"/>
          <w:szCs w:val="22"/>
        </w:rPr>
        <w:t xml:space="preserve"> </w:t>
      </w:r>
      <w:r w:rsidRPr="00E90641">
        <w:rPr>
          <w:sz w:val="22"/>
          <w:szCs w:val="22"/>
        </w:rPr>
        <w:t>d’engager une</w:t>
      </w:r>
      <w:r>
        <w:rPr>
          <w:sz w:val="22"/>
          <w:szCs w:val="22"/>
        </w:rPr>
        <w:t xml:space="preserve"> </w:t>
      </w:r>
      <w:r w:rsidRPr="00E90641">
        <w:rPr>
          <w:sz w:val="22"/>
          <w:szCs w:val="22"/>
        </w:rPr>
        <w:t>discussion sur les enjeux d’une université inclusive.</w:t>
      </w:r>
    </w:p>
    <w:p w:rsidR="00E90641" w:rsidRPr="00E90641" w:rsidRDefault="00E90641" w:rsidP="00E90641">
      <w:pPr>
        <w:rPr>
          <w:sz w:val="22"/>
          <w:szCs w:val="22"/>
        </w:rPr>
      </w:pPr>
    </w:p>
    <w:p w:rsidR="00E90641" w:rsidRPr="00E90641" w:rsidRDefault="00E90641" w:rsidP="00E90641">
      <w:pPr>
        <w:rPr>
          <w:sz w:val="22"/>
          <w:szCs w:val="22"/>
        </w:rPr>
      </w:pPr>
      <w:r w:rsidRPr="00E90641">
        <w:rPr>
          <w:sz w:val="22"/>
          <w:szCs w:val="22"/>
        </w:rPr>
        <w:t>Références :</w:t>
      </w:r>
    </w:p>
    <w:p w:rsidR="00E90641" w:rsidRPr="00E90641" w:rsidRDefault="00E90641" w:rsidP="00E90641">
      <w:pPr>
        <w:rPr>
          <w:sz w:val="22"/>
          <w:szCs w:val="22"/>
        </w:rPr>
      </w:pPr>
      <w:proofErr w:type="spellStart"/>
      <w:r w:rsidRPr="00E90641">
        <w:rPr>
          <w:sz w:val="22"/>
          <w:szCs w:val="22"/>
        </w:rPr>
        <w:t>Bettendorff</w:t>
      </w:r>
      <w:proofErr w:type="spellEnd"/>
      <w:r w:rsidRPr="00E90641">
        <w:rPr>
          <w:sz w:val="22"/>
          <w:szCs w:val="22"/>
        </w:rPr>
        <w:t>, F., Valente, G., Pelletier, L., Galiano, A.-R et Fabre, M. (2024).</w:t>
      </w:r>
      <w:r>
        <w:rPr>
          <w:sz w:val="22"/>
          <w:szCs w:val="22"/>
        </w:rPr>
        <w:t xml:space="preserve"> </w:t>
      </w:r>
      <w:r w:rsidRPr="00E90641">
        <w:rPr>
          <w:sz w:val="22"/>
          <w:szCs w:val="22"/>
        </w:rPr>
        <w:t>Diversité des vies étudiantes en première année de licence : vers des profils de</w:t>
      </w:r>
      <w:r>
        <w:rPr>
          <w:sz w:val="22"/>
          <w:szCs w:val="22"/>
        </w:rPr>
        <w:t xml:space="preserve"> </w:t>
      </w:r>
      <w:r w:rsidRPr="00E90641">
        <w:rPr>
          <w:sz w:val="22"/>
          <w:szCs w:val="22"/>
        </w:rPr>
        <w:t>vulnérabilités ? Communication dans le cadre du colloque international</w:t>
      </w:r>
      <w:r>
        <w:rPr>
          <w:sz w:val="22"/>
          <w:szCs w:val="22"/>
        </w:rPr>
        <w:t xml:space="preserve"> </w:t>
      </w:r>
      <w:r w:rsidRPr="00E90641">
        <w:rPr>
          <w:sz w:val="22"/>
          <w:szCs w:val="22"/>
        </w:rPr>
        <w:t>« Diversité et Réussite[s] dans l’enseignement supérieur » organisé en</w:t>
      </w:r>
      <w:r>
        <w:rPr>
          <w:sz w:val="22"/>
          <w:szCs w:val="22"/>
        </w:rPr>
        <w:t xml:space="preserve"> </w:t>
      </w:r>
      <w:r w:rsidRPr="00E90641">
        <w:rPr>
          <w:sz w:val="22"/>
          <w:szCs w:val="22"/>
        </w:rPr>
        <w:t>collaboration entre Nantes Université et l’Université Laval (Québec), Nantes, 3-5</w:t>
      </w:r>
      <w:r>
        <w:rPr>
          <w:sz w:val="22"/>
          <w:szCs w:val="22"/>
        </w:rPr>
        <w:t xml:space="preserve"> </w:t>
      </w:r>
      <w:r w:rsidRPr="00E90641">
        <w:rPr>
          <w:sz w:val="22"/>
          <w:szCs w:val="22"/>
        </w:rPr>
        <w:t>avril 2024.</w:t>
      </w:r>
    </w:p>
    <w:p w:rsidR="00E90641" w:rsidRPr="00E90641" w:rsidRDefault="00E90641" w:rsidP="00E90641">
      <w:pPr>
        <w:rPr>
          <w:sz w:val="22"/>
          <w:szCs w:val="22"/>
        </w:rPr>
      </w:pPr>
      <w:r w:rsidRPr="00E90641">
        <w:rPr>
          <w:sz w:val="22"/>
          <w:szCs w:val="22"/>
        </w:rPr>
        <w:t xml:space="preserve">Benoit, H. (2007). </w:t>
      </w:r>
      <w:proofErr w:type="spellStart"/>
      <w:r w:rsidRPr="00E90641">
        <w:rPr>
          <w:sz w:val="22"/>
          <w:szCs w:val="22"/>
        </w:rPr>
        <w:t>Editorial</w:t>
      </w:r>
      <w:proofErr w:type="spellEnd"/>
      <w:r w:rsidRPr="00E90641">
        <w:rPr>
          <w:sz w:val="22"/>
          <w:szCs w:val="22"/>
        </w:rPr>
        <w:t>. La nouvelle revue de l</w:t>
      </w:r>
      <w:r>
        <w:rPr>
          <w:sz w:val="22"/>
          <w:szCs w:val="22"/>
        </w:rPr>
        <w:t>’</w:t>
      </w:r>
      <w:r w:rsidRPr="00E90641">
        <w:rPr>
          <w:sz w:val="22"/>
          <w:szCs w:val="22"/>
        </w:rPr>
        <w:t>adaptation et de la</w:t>
      </w:r>
      <w:r>
        <w:rPr>
          <w:sz w:val="22"/>
          <w:szCs w:val="22"/>
        </w:rPr>
        <w:t xml:space="preserve"> </w:t>
      </w:r>
      <w:r w:rsidRPr="00E90641">
        <w:rPr>
          <w:sz w:val="22"/>
          <w:szCs w:val="22"/>
        </w:rPr>
        <w:t>scolarisation, 39, 3-4.</w:t>
      </w:r>
    </w:p>
    <w:p w:rsidR="00E90641" w:rsidRPr="00E90641" w:rsidRDefault="00E90641" w:rsidP="00E90641">
      <w:pPr>
        <w:rPr>
          <w:sz w:val="22"/>
          <w:szCs w:val="22"/>
        </w:rPr>
      </w:pPr>
      <w:r w:rsidRPr="00E90641">
        <w:rPr>
          <w:sz w:val="22"/>
          <w:szCs w:val="22"/>
        </w:rPr>
        <w:t>Direction générale de l’Enseignement supérieur et de l’Insertion professionnelle</w:t>
      </w:r>
    </w:p>
    <w:p w:rsidR="00E90641" w:rsidRPr="00E90641" w:rsidRDefault="00E90641" w:rsidP="00E90641">
      <w:pPr>
        <w:rPr>
          <w:sz w:val="22"/>
          <w:szCs w:val="22"/>
        </w:rPr>
      </w:pPr>
      <w:r w:rsidRPr="00E90641">
        <w:rPr>
          <w:sz w:val="22"/>
          <w:szCs w:val="22"/>
        </w:rPr>
        <w:t>(2025), État de l’Enseignement supérieur, de la Recherche et de l’Innovation en</w:t>
      </w:r>
      <w:r>
        <w:rPr>
          <w:sz w:val="22"/>
          <w:szCs w:val="22"/>
        </w:rPr>
        <w:t xml:space="preserve"> </w:t>
      </w:r>
      <w:r w:rsidRPr="00E90641">
        <w:rPr>
          <w:sz w:val="22"/>
          <w:szCs w:val="22"/>
        </w:rPr>
        <w:t>France, n°18, Paris.</w:t>
      </w:r>
    </w:p>
    <w:p w:rsidR="00E90641" w:rsidRPr="00E90641" w:rsidRDefault="00E90641" w:rsidP="00E90641">
      <w:pPr>
        <w:rPr>
          <w:sz w:val="22"/>
          <w:szCs w:val="22"/>
        </w:rPr>
      </w:pPr>
      <w:r w:rsidRPr="00E90641">
        <w:rPr>
          <w:sz w:val="22"/>
          <w:szCs w:val="22"/>
        </w:rPr>
        <w:t>Garcia A., Parayre S., Olivier A., Zigliara L. &amp;</w:t>
      </w:r>
      <w:proofErr w:type="spellStart"/>
      <w:proofErr w:type="gramStart"/>
      <w:r w:rsidRPr="00E90641">
        <w:rPr>
          <w:sz w:val="22"/>
          <w:szCs w:val="22"/>
        </w:rPr>
        <w:t>amp</w:t>
      </w:r>
      <w:proofErr w:type="spellEnd"/>
      <w:r w:rsidRPr="00E90641">
        <w:rPr>
          <w:sz w:val="22"/>
          <w:szCs w:val="22"/>
        </w:rPr>
        <w:t>;</w:t>
      </w:r>
      <w:proofErr w:type="gramEnd"/>
      <w:r w:rsidRPr="00E90641">
        <w:rPr>
          <w:sz w:val="22"/>
          <w:szCs w:val="22"/>
        </w:rPr>
        <w:t xml:space="preserve"> </w:t>
      </w:r>
      <w:proofErr w:type="spellStart"/>
      <w:r w:rsidRPr="00E90641">
        <w:rPr>
          <w:sz w:val="22"/>
          <w:szCs w:val="22"/>
        </w:rPr>
        <w:t>Mutuale</w:t>
      </w:r>
      <w:proofErr w:type="spellEnd"/>
      <w:r w:rsidRPr="00E90641">
        <w:rPr>
          <w:sz w:val="22"/>
          <w:szCs w:val="22"/>
        </w:rPr>
        <w:t xml:space="preserve"> A. (2021). Vers une</w:t>
      </w:r>
      <w:r>
        <w:rPr>
          <w:sz w:val="22"/>
          <w:szCs w:val="22"/>
        </w:rPr>
        <w:t xml:space="preserve"> </w:t>
      </w:r>
      <w:r w:rsidRPr="00E90641">
        <w:rPr>
          <w:sz w:val="22"/>
          <w:szCs w:val="22"/>
        </w:rPr>
        <w:t>pédagogie</w:t>
      </w:r>
      <w:r>
        <w:rPr>
          <w:sz w:val="22"/>
          <w:szCs w:val="22"/>
        </w:rPr>
        <w:t xml:space="preserve"> </w:t>
      </w:r>
      <w:r w:rsidRPr="00E90641">
        <w:rPr>
          <w:sz w:val="22"/>
          <w:szCs w:val="22"/>
        </w:rPr>
        <w:t>universitaire inclusive : entre prescription et réalité. Dans Dugas É. &amp;</w:t>
      </w:r>
      <w:r>
        <w:rPr>
          <w:sz w:val="22"/>
          <w:szCs w:val="22"/>
        </w:rPr>
        <w:t xml:space="preserve"> </w:t>
      </w:r>
      <w:proofErr w:type="spellStart"/>
      <w:r w:rsidRPr="00E90641">
        <w:rPr>
          <w:sz w:val="22"/>
          <w:szCs w:val="22"/>
        </w:rPr>
        <w:t>Sivilotti</w:t>
      </w:r>
      <w:proofErr w:type="spellEnd"/>
      <w:r w:rsidRPr="00E90641">
        <w:rPr>
          <w:sz w:val="22"/>
          <w:szCs w:val="22"/>
        </w:rPr>
        <w:t xml:space="preserve"> L. (</w:t>
      </w:r>
      <w:proofErr w:type="spellStart"/>
      <w:r w:rsidRPr="00E90641">
        <w:rPr>
          <w:sz w:val="22"/>
          <w:szCs w:val="22"/>
        </w:rPr>
        <w:t>Dir</w:t>
      </w:r>
      <w:proofErr w:type="spellEnd"/>
      <w:r w:rsidRPr="00E90641">
        <w:rPr>
          <w:sz w:val="22"/>
          <w:szCs w:val="22"/>
        </w:rPr>
        <w:t>.). Inclure dans et hors l’école ? Accessibilités, accompagnement</w:t>
      </w:r>
      <w:r>
        <w:rPr>
          <w:sz w:val="22"/>
          <w:szCs w:val="22"/>
        </w:rPr>
        <w:t xml:space="preserve"> </w:t>
      </w:r>
      <w:r w:rsidRPr="00E90641">
        <w:rPr>
          <w:sz w:val="22"/>
          <w:szCs w:val="22"/>
        </w:rPr>
        <w:t>et altérités (pp. 93-107). EME Éditions.</w:t>
      </w:r>
    </w:p>
    <w:p w:rsidR="00E90641" w:rsidRPr="00E90641" w:rsidRDefault="00E90641" w:rsidP="00E90641">
      <w:pPr>
        <w:rPr>
          <w:sz w:val="22"/>
          <w:szCs w:val="22"/>
        </w:rPr>
      </w:pPr>
      <w:r w:rsidRPr="00E90641">
        <w:rPr>
          <w:sz w:val="22"/>
          <w:szCs w:val="22"/>
        </w:rPr>
        <w:t>Organisation des Nations Unies (ONU). (2006). Convention relative aux droits</w:t>
      </w:r>
      <w:r>
        <w:rPr>
          <w:sz w:val="22"/>
          <w:szCs w:val="22"/>
        </w:rPr>
        <w:t xml:space="preserve"> </w:t>
      </w:r>
      <w:r w:rsidRPr="00E90641">
        <w:rPr>
          <w:sz w:val="22"/>
          <w:szCs w:val="22"/>
        </w:rPr>
        <w:t>des personnes handicapées.</w:t>
      </w:r>
    </w:p>
    <w:p w:rsidR="00E90641" w:rsidRDefault="00E90641" w:rsidP="00E90641">
      <w:pPr>
        <w:rPr>
          <w:sz w:val="22"/>
          <w:szCs w:val="22"/>
        </w:rPr>
      </w:pPr>
      <w:proofErr w:type="spellStart"/>
      <w:r w:rsidRPr="00E90641">
        <w:rPr>
          <w:sz w:val="22"/>
          <w:szCs w:val="22"/>
        </w:rPr>
        <w:t>Zaffran</w:t>
      </w:r>
      <w:proofErr w:type="spellEnd"/>
      <w:r w:rsidRPr="00E90641">
        <w:rPr>
          <w:sz w:val="22"/>
          <w:szCs w:val="22"/>
        </w:rPr>
        <w:t>, J. et Aigle, M. (2020). Qui décroche de l’université ? Mise en perspective</w:t>
      </w:r>
      <w:r>
        <w:rPr>
          <w:sz w:val="22"/>
          <w:szCs w:val="22"/>
        </w:rPr>
        <w:t xml:space="preserve"> </w:t>
      </w:r>
      <w:r w:rsidRPr="00E90641">
        <w:rPr>
          <w:sz w:val="22"/>
          <w:szCs w:val="22"/>
        </w:rPr>
        <w:t>nationale et analyse d’une enquête en région Aquitaine. Revue de l</w:t>
      </w:r>
      <w:r>
        <w:rPr>
          <w:sz w:val="22"/>
          <w:szCs w:val="22"/>
        </w:rPr>
        <w:t>’</w:t>
      </w:r>
      <w:r w:rsidRPr="00E90641">
        <w:rPr>
          <w:sz w:val="22"/>
          <w:szCs w:val="22"/>
        </w:rPr>
        <w:t>OFCE,</w:t>
      </w:r>
      <w:r>
        <w:rPr>
          <w:sz w:val="22"/>
          <w:szCs w:val="22"/>
        </w:rPr>
        <w:t xml:space="preserve"> </w:t>
      </w:r>
      <w:r w:rsidRPr="00E90641">
        <w:rPr>
          <w:sz w:val="22"/>
          <w:szCs w:val="22"/>
        </w:rPr>
        <w:t>167(3), 5-41.</w:t>
      </w:r>
    </w:p>
    <w:p w:rsidR="00E90641" w:rsidRDefault="00E90641" w:rsidP="00E90641">
      <w:pPr>
        <w:rPr>
          <w:sz w:val="22"/>
          <w:szCs w:val="22"/>
        </w:rPr>
      </w:pPr>
    </w:p>
    <w:p w:rsidR="00E90641" w:rsidRPr="00E90641" w:rsidRDefault="00E90641" w:rsidP="00E90641">
      <w:pPr>
        <w:rPr>
          <w:sz w:val="22"/>
          <w:szCs w:val="22"/>
        </w:rPr>
      </w:pPr>
      <w:r w:rsidRPr="00E90641">
        <w:rPr>
          <w:sz w:val="22"/>
          <w:szCs w:val="22"/>
        </w:rPr>
        <w:t>Mots clés :</w:t>
      </w:r>
      <w:r>
        <w:rPr>
          <w:sz w:val="22"/>
          <w:szCs w:val="22"/>
        </w:rPr>
        <w:t xml:space="preserve"> </w:t>
      </w:r>
      <w:r w:rsidRPr="00E90641">
        <w:rPr>
          <w:sz w:val="22"/>
          <w:szCs w:val="22"/>
        </w:rPr>
        <w:t>université inclusive ; conception universelle ; accessibilité ; cours magistral ; L1 </w:t>
      </w:r>
    </w:p>
    <w:p w:rsidR="00E90641" w:rsidRPr="00E90641" w:rsidRDefault="00E90641" w:rsidP="00E90641">
      <w:pPr>
        <w:rPr>
          <w:sz w:val="22"/>
          <w:szCs w:val="22"/>
        </w:rPr>
      </w:pPr>
    </w:p>
    <w:p w:rsidR="00C56C44" w:rsidRDefault="000E5836" w:rsidP="000E5836">
      <w:pPr>
        <w:pStyle w:val="NormalWeb"/>
        <w:rPr>
          <w:sz w:val="22"/>
          <w:szCs w:val="22"/>
        </w:rPr>
      </w:pPr>
      <w:r w:rsidRPr="000E5836">
        <w:rPr>
          <w:sz w:val="22"/>
          <w:szCs w:val="22"/>
        </w:rPr>
        <w:t xml:space="preserve"> </w:t>
      </w:r>
    </w:p>
    <w:p w:rsidR="00E90641" w:rsidRPr="00FC0A58" w:rsidRDefault="00E90641" w:rsidP="00E90641">
      <w:pPr>
        <w:pBdr>
          <w:top w:val="single" w:sz="4" w:space="1" w:color="auto"/>
          <w:left w:val="single" w:sz="4" w:space="4" w:color="auto"/>
          <w:bottom w:val="single" w:sz="4" w:space="1" w:color="auto"/>
          <w:right w:val="single" w:sz="4" w:space="4" w:color="auto"/>
        </w:pBdr>
        <w:rPr>
          <w:b/>
          <w:bCs/>
          <w:color w:val="0070C0"/>
        </w:rPr>
      </w:pPr>
      <w:r w:rsidRPr="00FC0A58">
        <w:rPr>
          <w:b/>
          <w:bCs/>
          <w:color w:val="0070C0"/>
        </w:rPr>
        <w:t>Liliane Pelletier</w:t>
      </w:r>
    </w:p>
    <w:p w:rsidR="00E90641" w:rsidRPr="00FC0A58" w:rsidRDefault="00E90641" w:rsidP="00E90641">
      <w:pPr>
        <w:pBdr>
          <w:top w:val="single" w:sz="4" w:space="1" w:color="auto"/>
          <w:left w:val="single" w:sz="4" w:space="4" w:color="auto"/>
          <w:bottom w:val="single" w:sz="4" w:space="1" w:color="auto"/>
          <w:right w:val="single" w:sz="4" w:space="4" w:color="auto"/>
        </w:pBdr>
        <w:rPr>
          <w:color w:val="0070C0"/>
        </w:rPr>
      </w:pPr>
      <w:r w:rsidRPr="00FC0A58">
        <w:rPr>
          <w:color w:val="0070C0"/>
        </w:rPr>
        <w:t>Participer à une recherche-action-formation : vers l’autodétermination des acteurs universitaires au sein d’un Lieu d’</w:t>
      </w:r>
      <w:proofErr w:type="spellStart"/>
      <w:r w:rsidRPr="00FC0A58">
        <w:rPr>
          <w:color w:val="0070C0"/>
        </w:rPr>
        <w:t>Education</w:t>
      </w:r>
      <w:proofErr w:type="spellEnd"/>
      <w:r w:rsidRPr="00FC0A58">
        <w:rPr>
          <w:color w:val="0070C0"/>
        </w:rPr>
        <w:t xml:space="preserve"> Associé (</w:t>
      </w:r>
      <w:proofErr w:type="spellStart"/>
      <w:r w:rsidRPr="00FC0A58">
        <w:rPr>
          <w:color w:val="0070C0"/>
        </w:rPr>
        <w:t>LéA</w:t>
      </w:r>
      <w:proofErr w:type="spellEnd"/>
      <w:r w:rsidRPr="00FC0A58">
        <w:rPr>
          <w:color w:val="0070C0"/>
        </w:rPr>
        <w:t>)</w:t>
      </w:r>
    </w:p>
    <w:p w:rsidR="00E90641" w:rsidRPr="00FC0A58" w:rsidRDefault="00E90641" w:rsidP="00E90641"/>
    <w:p w:rsidR="00E90641" w:rsidRPr="00FC0A58" w:rsidRDefault="00E90641" w:rsidP="00E90641">
      <w:pPr>
        <w:rPr>
          <w:sz w:val="22"/>
          <w:szCs w:val="22"/>
        </w:rPr>
      </w:pPr>
      <w:r w:rsidRPr="00FC0A58">
        <w:rPr>
          <w:b/>
          <w:bCs/>
          <w:sz w:val="22"/>
          <w:szCs w:val="22"/>
        </w:rPr>
        <w:t>Liliane PELLETIER</w:t>
      </w:r>
      <w:r w:rsidRPr="00FC0A58">
        <w:rPr>
          <w:sz w:val="22"/>
          <w:szCs w:val="22"/>
        </w:rPr>
        <w:t xml:space="preserve"> est Professeure des universités en sciences de l’éducation et de la formation à l’Université Lumière Lyon 2 au sein du Laboratoire ECP. Elle étudie dans une perspective socio-anthropologique les ruptures et les continuités des dynamiques inclusives de la petite enfance à l’insertion professionnelle.</w:t>
      </w:r>
    </w:p>
    <w:p w:rsidR="00E90641" w:rsidRPr="00FC0A58" w:rsidRDefault="00E90641" w:rsidP="00E90641">
      <w:pPr>
        <w:rPr>
          <w:sz w:val="22"/>
          <w:szCs w:val="22"/>
        </w:rPr>
      </w:pPr>
    </w:p>
    <w:p w:rsidR="00E90641" w:rsidRPr="00FC0A58" w:rsidRDefault="00E90641" w:rsidP="00E90641">
      <w:pPr>
        <w:rPr>
          <w:b/>
          <w:bCs/>
          <w:sz w:val="22"/>
          <w:szCs w:val="22"/>
        </w:rPr>
      </w:pPr>
      <w:r w:rsidRPr="00FC0A58">
        <w:rPr>
          <w:b/>
          <w:bCs/>
          <w:sz w:val="22"/>
          <w:szCs w:val="22"/>
        </w:rPr>
        <w:t>Participer à une recherche-action-formation : vers l’autodétermination des acteurs universitaires au sein d’un Lieu d’</w:t>
      </w:r>
      <w:proofErr w:type="spellStart"/>
      <w:r w:rsidRPr="00FC0A58">
        <w:rPr>
          <w:b/>
          <w:bCs/>
          <w:sz w:val="22"/>
          <w:szCs w:val="22"/>
        </w:rPr>
        <w:t>Education</w:t>
      </w:r>
      <w:proofErr w:type="spellEnd"/>
      <w:r w:rsidRPr="00FC0A58">
        <w:rPr>
          <w:b/>
          <w:bCs/>
          <w:sz w:val="22"/>
          <w:szCs w:val="22"/>
        </w:rPr>
        <w:t xml:space="preserve"> Associé (</w:t>
      </w:r>
      <w:proofErr w:type="spellStart"/>
      <w:r w:rsidRPr="00FC0A58">
        <w:rPr>
          <w:b/>
          <w:bCs/>
          <w:sz w:val="22"/>
          <w:szCs w:val="22"/>
        </w:rPr>
        <w:t>LéA</w:t>
      </w:r>
      <w:proofErr w:type="spellEnd"/>
      <w:r w:rsidRPr="00FC0A58">
        <w:rPr>
          <w:b/>
          <w:bCs/>
          <w:sz w:val="22"/>
          <w:szCs w:val="22"/>
        </w:rPr>
        <w:t>)</w:t>
      </w:r>
    </w:p>
    <w:p w:rsidR="00E90641" w:rsidRPr="00FC0A58" w:rsidRDefault="00E90641" w:rsidP="00E90641">
      <w:pPr>
        <w:rPr>
          <w:sz w:val="22"/>
          <w:szCs w:val="22"/>
        </w:rPr>
      </w:pPr>
    </w:p>
    <w:p w:rsidR="00E90641" w:rsidRPr="00FC0A58" w:rsidRDefault="00E90641" w:rsidP="00E90641">
      <w:pPr>
        <w:rPr>
          <w:sz w:val="22"/>
          <w:szCs w:val="22"/>
        </w:rPr>
      </w:pPr>
      <w:r w:rsidRPr="00FC0A58">
        <w:rPr>
          <w:sz w:val="22"/>
          <w:szCs w:val="22"/>
        </w:rPr>
        <w:t>Penser l’université inclusive selon une « conception universelle » (Conseil de l’Europe, 2009),</w:t>
      </w:r>
      <w:r>
        <w:rPr>
          <w:sz w:val="22"/>
          <w:szCs w:val="22"/>
        </w:rPr>
        <w:t xml:space="preserve"> </w:t>
      </w:r>
      <w:r w:rsidRPr="00FC0A58">
        <w:rPr>
          <w:sz w:val="22"/>
          <w:szCs w:val="22"/>
        </w:rPr>
        <w:t>implique la prise en compte de tous les acteurs. Nous abordons cette perspective selon une</w:t>
      </w:r>
      <w:r>
        <w:rPr>
          <w:sz w:val="22"/>
          <w:szCs w:val="22"/>
        </w:rPr>
        <w:t xml:space="preserve"> </w:t>
      </w:r>
      <w:r w:rsidRPr="00FC0A58">
        <w:rPr>
          <w:sz w:val="22"/>
          <w:szCs w:val="22"/>
        </w:rPr>
        <w:t>démarche de recherche-action-formation (RAF) au sein d’un Lieu d’</w:t>
      </w:r>
      <w:proofErr w:type="spellStart"/>
      <w:r w:rsidRPr="00FC0A58">
        <w:rPr>
          <w:sz w:val="22"/>
          <w:szCs w:val="22"/>
        </w:rPr>
        <w:t>Education</w:t>
      </w:r>
      <w:proofErr w:type="spellEnd"/>
      <w:r w:rsidRPr="00FC0A58">
        <w:rPr>
          <w:sz w:val="22"/>
          <w:szCs w:val="22"/>
        </w:rPr>
        <w:t xml:space="preserve"> Associé (</w:t>
      </w:r>
      <w:proofErr w:type="spellStart"/>
      <w:r w:rsidRPr="00FC0A58">
        <w:rPr>
          <w:sz w:val="22"/>
          <w:szCs w:val="22"/>
        </w:rPr>
        <w:t>LéA</w:t>
      </w:r>
      <w:proofErr w:type="spellEnd"/>
      <w:r w:rsidRPr="00FC0A58">
        <w:rPr>
          <w:sz w:val="22"/>
          <w:szCs w:val="22"/>
        </w:rPr>
        <w:t>)</w:t>
      </w:r>
      <w:r>
        <w:rPr>
          <w:sz w:val="22"/>
          <w:szCs w:val="22"/>
        </w:rPr>
        <w:t xml:space="preserve"> </w:t>
      </w:r>
      <w:r w:rsidRPr="00FC0A58">
        <w:rPr>
          <w:sz w:val="22"/>
          <w:szCs w:val="22"/>
        </w:rPr>
        <w:t>qui tient compte de l’</w:t>
      </w:r>
      <w:proofErr w:type="spellStart"/>
      <w:r w:rsidRPr="00FC0A58">
        <w:rPr>
          <w:sz w:val="22"/>
          <w:szCs w:val="22"/>
        </w:rPr>
        <w:t>intercatégorialité</w:t>
      </w:r>
      <w:proofErr w:type="spellEnd"/>
      <w:r w:rsidRPr="00FC0A58">
        <w:rPr>
          <w:sz w:val="22"/>
          <w:szCs w:val="22"/>
        </w:rPr>
        <w:t xml:space="preserve"> et de l’</w:t>
      </w:r>
      <w:proofErr w:type="spellStart"/>
      <w:r w:rsidRPr="00FC0A58">
        <w:rPr>
          <w:sz w:val="22"/>
          <w:szCs w:val="22"/>
        </w:rPr>
        <w:t>intermétiers</w:t>
      </w:r>
      <w:proofErr w:type="spellEnd"/>
      <w:r w:rsidRPr="00FC0A58">
        <w:rPr>
          <w:sz w:val="22"/>
          <w:szCs w:val="22"/>
        </w:rPr>
        <w:t xml:space="preserve"> (</w:t>
      </w:r>
      <w:proofErr w:type="spellStart"/>
      <w:r w:rsidRPr="00FC0A58">
        <w:rPr>
          <w:sz w:val="22"/>
          <w:szCs w:val="22"/>
        </w:rPr>
        <w:t>Allenbach</w:t>
      </w:r>
      <w:proofErr w:type="spellEnd"/>
      <w:r w:rsidRPr="00FC0A58">
        <w:rPr>
          <w:sz w:val="22"/>
          <w:szCs w:val="22"/>
        </w:rPr>
        <w:t xml:space="preserve"> et al., 2021). Selon</w:t>
      </w:r>
      <w:r>
        <w:rPr>
          <w:sz w:val="22"/>
          <w:szCs w:val="22"/>
        </w:rPr>
        <w:t xml:space="preserve"> </w:t>
      </w:r>
      <w:proofErr w:type="spellStart"/>
      <w:r w:rsidRPr="00FC0A58">
        <w:rPr>
          <w:sz w:val="22"/>
          <w:szCs w:val="22"/>
        </w:rPr>
        <w:t>Dupriez</w:t>
      </w:r>
      <w:proofErr w:type="spellEnd"/>
      <w:r w:rsidRPr="00FC0A58">
        <w:rPr>
          <w:sz w:val="22"/>
          <w:szCs w:val="22"/>
        </w:rPr>
        <w:t xml:space="preserve"> et Cornet (2005), elle suppose des processus itératifs d</w:t>
      </w:r>
      <w:proofErr w:type="gramStart"/>
      <w:r w:rsidRPr="00FC0A58">
        <w:rPr>
          <w:sz w:val="22"/>
          <w:szCs w:val="22"/>
        </w:rPr>
        <w:t>’«</w:t>
      </w:r>
      <w:proofErr w:type="gramEnd"/>
      <w:r w:rsidRPr="00FC0A58">
        <w:rPr>
          <w:sz w:val="22"/>
          <w:szCs w:val="22"/>
        </w:rPr>
        <w:t xml:space="preserve"> action-recherche-action-(trans)formation » et la </w:t>
      </w:r>
      <w:proofErr w:type="spellStart"/>
      <w:r w:rsidRPr="00FC0A58">
        <w:rPr>
          <w:sz w:val="22"/>
          <w:szCs w:val="22"/>
        </w:rPr>
        <w:t>coconstruction</w:t>
      </w:r>
      <w:proofErr w:type="spellEnd"/>
      <w:r w:rsidRPr="00FC0A58">
        <w:rPr>
          <w:sz w:val="22"/>
          <w:szCs w:val="22"/>
        </w:rPr>
        <w:t xml:space="preserve"> d’un commun constamment enrichi (Alaoui, 2014). Le</w:t>
      </w:r>
      <w:r>
        <w:rPr>
          <w:sz w:val="22"/>
          <w:szCs w:val="22"/>
        </w:rPr>
        <w:t xml:space="preserve"> </w:t>
      </w:r>
      <w:proofErr w:type="spellStart"/>
      <w:r w:rsidRPr="00FC0A58">
        <w:rPr>
          <w:sz w:val="22"/>
          <w:szCs w:val="22"/>
        </w:rPr>
        <w:t>LéA</w:t>
      </w:r>
      <w:proofErr w:type="spellEnd"/>
      <w:r w:rsidRPr="00FC0A58">
        <w:rPr>
          <w:sz w:val="22"/>
          <w:szCs w:val="22"/>
        </w:rPr>
        <w:t xml:space="preserve"> </w:t>
      </w:r>
      <w:proofErr w:type="spellStart"/>
      <w:r w:rsidRPr="00FC0A58">
        <w:rPr>
          <w:sz w:val="22"/>
          <w:szCs w:val="22"/>
        </w:rPr>
        <w:t>CREAbility</w:t>
      </w:r>
      <w:proofErr w:type="spellEnd"/>
      <w:r w:rsidRPr="00FC0A58">
        <w:rPr>
          <w:sz w:val="22"/>
          <w:szCs w:val="22"/>
        </w:rPr>
        <w:t xml:space="preserve"> se situe dans le prolongement du projet « Université inclusive » qui a éclairé</w:t>
      </w:r>
      <w:r>
        <w:rPr>
          <w:sz w:val="22"/>
          <w:szCs w:val="22"/>
        </w:rPr>
        <w:t xml:space="preserve"> </w:t>
      </w:r>
      <w:r w:rsidRPr="00FC0A58">
        <w:rPr>
          <w:sz w:val="22"/>
          <w:szCs w:val="22"/>
        </w:rPr>
        <w:t>deux freins à l’inclusivité : le rapport aux espaces et aux autres.</w:t>
      </w:r>
    </w:p>
    <w:p w:rsidR="00E90641" w:rsidRPr="00FC0A58" w:rsidRDefault="00E90641" w:rsidP="00E90641">
      <w:pPr>
        <w:rPr>
          <w:sz w:val="22"/>
          <w:szCs w:val="22"/>
        </w:rPr>
      </w:pPr>
      <w:r w:rsidRPr="00FC0A58">
        <w:rPr>
          <w:sz w:val="22"/>
          <w:szCs w:val="22"/>
        </w:rPr>
        <w:t xml:space="preserve">Arrimé à la volonté de transformer l’université à partir des affordances (Dumas </w:t>
      </w:r>
      <w:proofErr w:type="spellStart"/>
      <w:r w:rsidRPr="00FC0A58">
        <w:rPr>
          <w:sz w:val="22"/>
          <w:szCs w:val="22"/>
        </w:rPr>
        <w:t>Reyssier</w:t>
      </w:r>
      <w:proofErr w:type="spellEnd"/>
      <w:r w:rsidRPr="00FC0A58">
        <w:rPr>
          <w:sz w:val="22"/>
          <w:szCs w:val="22"/>
        </w:rPr>
        <w:t xml:space="preserve"> et al,</w:t>
      </w:r>
    </w:p>
    <w:p w:rsidR="00E90641" w:rsidRPr="00FC0A58" w:rsidRDefault="00E90641" w:rsidP="00E90641">
      <w:pPr>
        <w:rPr>
          <w:sz w:val="22"/>
          <w:szCs w:val="22"/>
        </w:rPr>
      </w:pPr>
      <w:r w:rsidRPr="00FC0A58">
        <w:rPr>
          <w:sz w:val="22"/>
          <w:szCs w:val="22"/>
        </w:rPr>
        <w:t xml:space="preserve">2024), ce </w:t>
      </w:r>
      <w:proofErr w:type="spellStart"/>
      <w:r w:rsidRPr="00FC0A58">
        <w:rPr>
          <w:sz w:val="22"/>
          <w:szCs w:val="22"/>
        </w:rPr>
        <w:t>LéA</w:t>
      </w:r>
      <w:proofErr w:type="spellEnd"/>
      <w:r w:rsidRPr="00FC0A58">
        <w:rPr>
          <w:sz w:val="22"/>
          <w:szCs w:val="22"/>
        </w:rPr>
        <w:t xml:space="preserve"> compte une variété d’acteurs (7 étudiants, 6 gestionnaires et responsables de</w:t>
      </w:r>
      <w:r>
        <w:rPr>
          <w:sz w:val="22"/>
          <w:szCs w:val="22"/>
        </w:rPr>
        <w:t xml:space="preserve"> </w:t>
      </w:r>
      <w:r w:rsidRPr="00FC0A58">
        <w:rPr>
          <w:sz w:val="22"/>
          <w:szCs w:val="22"/>
        </w:rPr>
        <w:t>service, 8 enseignants-chercheurs et 3 doctorants et docteurs). Il développe un projet partagé</w:t>
      </w:r>
      <w:r>
        <w:rPr>
          <w:sz w:val="22"/>
          <w:szCs w:val="22"/>
        </w:rPr>
        <w:t xml:space="preserve"> </w:t>
      </w:r>
      <w:r w:rsidRPr="00FC0A58">
        <w:rPr>
          <w:sz w:val="22"/>
          <w:szCs w:val="22"/>
        </w:rPr>
        <w:t>considérant les propriétés de l’environnement qui invitent les étudiants à agir, à se</w:t>
      </w:r>
      <w:r>
        <w:rPr>
          <w:sz w:val="22"/>
          <w:szCs w:val="22"/>
        </w:rPr>
        <w:t xml:space="preserve"> </w:t>
      </w:r>
      <w:r w:rsidRPr="00FC0A58">
        <w:rPr>
          <w:sz w:val="22"/>
          <w:szCs w:val="22"/>
        </w:rPr>
        <w:t>développer, à se sentir appartenir à un groupe, à une filière. En lien avec l’axe 4, nous nous</w:t>
      </w:r>
      <w:r>
        <w:rPr>
          <w:sz w:val="22"/>
          <w:szCs w:val="22"/>
        </w:rPr>
        <w:t xml:space="preserve"> </w:t>
      </w:r>
      <w:r w:rsidRPr="00FC0A58">
        <w:rPr>
          <w:sz w:val="22"/>
          <w:szCs w:val="22"/>
        </w:rPr>
        <w:t>demandons si le dispositif RAF est vecteur d'autodétermination pour les acteurs et si oui, dans</w:t>
      </w:r>
      <w:r>
        <w:rPr>
          <w:sz w:val="22"/>
          <w:szCs w:val="22"/>
        </w:rPr>
        <w:t xml:space="preserve"> </w:t>
      </w:r>
      <w:r w:rsidRPr="00FC0A58">
        <w:rPr>
          <w:sz w:val="22"/>
          <w:szCs w:val="22"/>
        </w:rPr>
        <w:t>quelle mesure il produit des effets de reconnaissance et de légitimation des points de vue ?</w:t>
      </w:r>
    </w:p>
    <w:p w:rsidR="00E90641" w:rsidRPr="00FC0A58" w:rsidRDefault="00E90641" w:rsidP="00E90641">
      <w:pPr>
        <w:rPr>
          <w:sz w:val="22"/>
          <w:szCs w:val="22"/>
        </w:rPr>
      </w:pPr>
      <w:r w:rsidRPr="00FC0A58">
        <w:rPr>
          <w:sz w:val="22"/>
          <w:szCs w:val="22"/>
        </w:rPr>
        <w:t>Pour cela, nous explorons comment les membres du collectif participent, en examinant trois</w:t>
      </w:r>
      <w:r>
        <w:rPr>
          <w:sz w:val="22"/>
          <w:szCs w:val="22"/>
        </w:rPr>
        <w:t xml:space="preserve"> </w:t>
      </w:r>
      <w:r w:rsidRPr="00FC0A58">
        <w:rPr>
          <w:sz w:val="22"/>
          <w:szCs w:val="22"/>
        </w:rPr>
        <w:t>aspects : « prendre part, apporter une part et recevoir une part » (</w:t>
      </w:r>
      <w:proofErr w:type="spellStart"/>
      <w:r w:rsidRPr="00FC0A58">
        <w:rPr>
          <w:sz w:val="22"/>
          <w:szCs w:val="22"/>
        </w:rPr>
        <w:t>Zask</w:t>
      </w:r>
      <w:proofErr w:type="spellEnd"/>
      <w:r w:rsidRPr="00FC0A58">
        <w:rPr>
          <w:sz w:val="22"/>
          <w:szCs w:val="22"/>
        </w:rPr>
        <w:t>, 2021).</w:t>
      </w:r>
    </w:p>
    <w:p w:rsidR="00E90641" w:rsidRPr="00FC0A58" w:rsidRDefault="00E90641" w:rsidP="00E90641">
      <w:pPr>
        <w:rPr>
          <w:sz w:val="22"/>
          <w:szCs w:val="22"/>
        </w:rPr>
      </w:pPr>
    </w:p>
    <w:p w:rsidR="00E90641" w:rsidRPr="00FC0A58" w:rsidRDefault="00E90641" w:rsidP="00E90641">
      <w:pPr>
        <w:rPr>
          <w:sz w:val="22"/>
          <w:szCs w:val="22"/>
        </w:rPr>
      </w:pPr>
      <w:r w:rsidRPr="00FC0A58">
        <w:rPr>
          <w:sz w:val="22"/>
          <w:szCs w:val="22"/>
        </w:rPr>
        <w:lastRenderedPageBreak/>
        <w:t>Selon une ethnographie de la participation (</w:t>
      </w:r>
      <w:proofErr w:type="spellStart"/>
      <w:r w:rsidRPr="00FC0A58">
        <w:rPr>
          <w:sz w:val="22"/>
          <w:szCs w:val="22"/>
        </w:rPr>
        <w:t>Céfaï</w:t>
      </w:r>
      <w:proofErr w:type="spellEnd"/>
      <w:r w:rsidRPr="00FC0A58">
        <w:rPr>
          <w:sz w:val="22"/>
          <w:szCs w:val="22"/>
        </w:rPr>
        <w:t xml:space="preserve"> et al., 2012), l’analyse vise à comprendre</w:t>
      </w:r>
      <w:r>
        <w:rPr>
          <w:sz w:val="22"/>
          <w:szCs w:val="22"/>
        </w:rPr>
        <w:t xml:space="preserve"> </w:t>
      </w:r>
      <w:r w:rsidRPr="00FC0A58">
        <w:rPr>
          <w:sz w:val="22"/>
          <w:szCs w:val="22"/>
        </w:rPr>
        <w:t>l’activité du collectif et les formes d’engagement. L’enquête s’appuie sur des traces recueillies</w:t>
      </w:r>
      <w:r>
        <w:rPr>
          <w:sz w:val="22"/>
          <w:szCs w:val="22"/>
        </w:rPr>
        <w:t xml:space="preserve"> </w:t>
      </w:r>
      <w:r w:rsidRPr="00FC0A58">
        <w:rPr>
          <w:sz w:val="22"/>
          <w:szCs w:val="22"/>
        </w:rPr>
        <w:t xml:space="preserve">depuis le lancement du </w:t>
      </w:r>
      <w:proofErr w:type="spellStart"/>
      <w:r w:rsidRPr="00FC0A58">
        <w:rPr>
          <w:sz w:val="22"/>
          <w:szCs w:val="22"/>
        </w:rPr>
        <w:t>LéA</w:t>
      </w:r>
      <w:proofErr w:type="spellEnd"/>
      <w:r w:rsidRPr="00FC0A58">
        <w:rPr>
          <w:sz w:val="22"/>
          <w:szCs w:val="22"/>
        </w:rPr>
        <w:t xml:space="preserve"> (séances enregistrées, mails, photos, notes ethnographiques et réflexions collectées sur un mur collaboratif).</w:t>
      </w:r>
    </w:p>
    <w:p w:rsidR="00E90641" w:rsidRPr="00FC0A58" w:rsidRDefault="00E90641" w:rsidP="00E90641">
      <w:pPr>
        <w:rPr>
          <w:sz w:val="22"/>
          <w:szCs w:val="22"/>
        </w:rPr>
      </w:pPr>
      <w:r w:rsidRPr="00FC0A58">
        <w:rPr>
          <w:sz w:val="22"/>
          <w:szCs w:val="22"/>
        </w:rPr>
        <w:t>Les données sont analysées sous l’angle des trois sphères de la reconnaissance (Honneth,</w:t>
      </w:r>
    </w:p>
    <w:p w:rsidR="00E90641" w:rsidRPr="00FC0A58" w:rsidRDefault="00E90641" w:rsidP="00E90641">
      <w:pPr>
        <w:rPr>
          <w:sz w:val="22"/>
          <w:szCs w:val="22"/>
        </w:rPr>
      </w:pPr>
      <w:r w:rsidRPr="00FC0A58">
        <w:rPr>
          <w:sz w:val="22"/>
          <w:szCs w:val="22"/>
        </w:rPr>
        <w:t xml:space="preserve">2010) et révèlent des </w:t>
      </w:r>
      <w:proofErr w:type="spellStart"/>
      <w:r w:rsidRPr="00FC0A58">
        <w:rPr>
          <w:sz w:val="22"/>
          <w:szCs w:val="22"/>
        </w:rPr>
        <w:t>microtransformations</w:t>
      </w:r>
      <w:proofErr w:type="spellEnd"/>
      <w:r w:rsidRPr="00FC0A58">
        <w:rPr>
          <w:sz w:val="22"/>
          <w:szCs w:val="22"/>
        </w:rPr>
        <w:t xml:space="preserve"> en termes d’autodétermination.</w:t>
      </w:r>
    </w:p>
    <w:p w:rsidR="00E90641" w:rsidRPr="00FC0A58" w:rsidRDefault="00E90641" w:rsidP="00E90641">
      <w:pPr>
        <w:rPr>
          <w:sz w:val="22"/>
          <w:szCs w:val="22"/>
        </w:rPr>
      </w:pPr>
    </w:p>
    <w:p w:rsidR="00E90641" w:rsidRPr="00FC0A58" w:rsidRDefault="00E90641" w:rsidP="00E90641">
      <w:pPr>
        <w:rPr>
          <w:sz w:val="22"/>
          <w:szCs w:val="22"/>
        </w:rPr>
      </w:pPr>
      <w:r w:rsidRPr="00FC0A58">
        <w:rPr>
          <w:sz w:val="22"/>
          <w:szCs w:val="22"/>
        </w:rPr>
        <w:t>Références :</w:t>
      </w:r>
    </w:p>
    <w:p w:rsidR="00E90641" w:rsidRPr="00FC0A58" w:rsidRDefault="00E90641" w:rsidP="00E90641">
      <w:pPr>
        <w:rPr>
          <w:sz w:val="22"/>
          <w:szCs w:val="22"/>
        </w:rPr>
      </w:pPr>
      <w:r w:rsidRPr="00FC0A58">
        <w:rPr>
          <w:sz w:val="22"/>
          <w:szCs w:val="22"/>
        </w:rPr>
        <w:t>Alaoui, D. (2014). Socialiser au divers, à l’altérité, au dialogue interculturel et à la reconnaissance : la quadruple socialisation versus la socialisation néolibérale. Dans D. Alaoui et A. Lenoir (</w:t>
      </w:r>
      <w:proofErr w:type="spellStart"/>
      <w:r w:rsidRPr="00FC0A58">
        <w:rPr>
          <w:sz w:val="22"/>
          <w:szCs w:val="22"/>
        </w:rPr>
        <w:t>dir</w:t>
      </w:r>
      <w:proofErr w:type="spellEnd"/>
      <w:r w:rsidRPr="00FC0A58">
        <w:rPr>
          <w:sz w:val="22"/>
          <w:szCs w:val="22"/>
        </w:rPr>
        <w:t xml:space="preserve">.). L’interculturel et la construction d’une culture de la reconnaissance (p. 235-263). </w:t>
      </w:r>
      <w:proofErr w:type="spellStart"/>
      <w:r w:rsidRPr="00FC0A58">
        <w:rPr>
          <w:sz w:val="22"/>
          <w:szCs w:val="22"/>
        </w:rPr>
        <w:t>Groupéditions</w:t>
      </w:r>
      <w:proofErr w:type="spellEnd"/>
      <w:r w:rsidRPr="00FC0A58">
        <w:rPr>
          <w:sz w:val="22"/>
          <w:szCs w:val="22"/>
        </w:rPr>
        <w:t>.</w:t>
      </w:r>
    </w:p>
    <w:p w:rsidR="00E90641" w:rsidRPr="00FC0A58" w:rsidRDefault="00E90641" w:rsidP="00E90641">
      <w:pPr>
        <w:rPr>
          <w:sz w:val="22"/>
          <w:szCs w:val="22"/>
        </w:rPr>
      </w:pPr>
      <w:proofErr w:type="spellStart"/>
      <w:r w:rsidRPr="00FC0A58">
        <w:rPr>
          <w:sz w:val="22"/>
          <w:szCs w:val="22"/>
        </w:rPr>
        <w:t>Allenbach</w:t>
      </w:r>
      <w:proofErr w:type="spellEnd"/>
      <w:r w:rsidRPr="00FC0A58">
        <w:rPr>
          <w:sz w:val="22"/>
          <w:szCs w:val="22"/>
        </w:rPr>
        <w:t xml:space="preserve">, M., </w:t>
      </w:r>
      <w:proofErr w:type="spellStart"/>
      <w:r w:rsidRPr="00FC0A58">
        <w:rPr>
          <w:sz w:val="22"/>
          <w:szCs w:val="22"/>
        </w:rPr>
        <w:t>Frangieh</w:t>
      </w:r>
      <w:proofErr w:type="spellEnd"/>
      <w:r w:rsidRPr="00FC0A58">
        <w:rPr>
          <w:sz w:val="22"/>
          <w:szCs w:val="22"/>
        </w:rPr>
        <w:t xml:space="preserve">, B., </w:t>
      </w:r>
      <w:proofErr w:type="spellStart"/>
      <w:r w:rsidRPr="00FC0A58">
        <w:rPr>
          <w:sz w:val="22"/>
          <w:szCs w:val="22"/>
        </w:rPr>
        <w:t>Merini</w:t>
      </w:r>
      <w:proofErr w:type="spellEnd"/>
      <w:r w:rsidRPr="00FC0A58">
        <w:rPr>
          <w:sz w:val="22"/>
          <w:szCs w:val="22"/>
        </w:rPr>
        <w:t xml:space="preserve">, C. et </w:t>
      </w:r>
      <w:proofErr w:type="spellStart"/>
      <w:r w:rsidRPr="00FC0A58">
        <w:rPr>
          <w:sz w:val="22"/>
          <w:szCs w:val="22"/>
        </w:rPr>
        <w:t>Thomazet</w:t>
      </w:r>
      <w:proofErr w:type="spellEnd"/>
      <w:r w:rsidRPr="00FC0A58">
        <w:rPr>
          <w:sz w:val="22"/>
          <w:szCs w:val="22"/>
        </w:rPr>
        <w:t>, S. (2021). Le travail collectif en situation d’</w:t>
      </w:r>
      <w:proofErr w:type="spellStart"/>
      <w:r w:rsidRPr="00FC0A58">
        <w:rPr>
          <w:sz w:val="22"/>
          <w:szCs w:val="22"/>
        </w:rPr>
        <w:t>intermétiers</w:t>
      </w:r>
      <w:proofErr w:type="spellEnd"/>
      <w:r w:rsidRPr="00FC0A58">
        <w:rPr>
          <w:sz w:val="22"/>
          <w:szCs w:val="22"/>
        </w:rPr>
        <w:t>. La nouvelle revue - Éducation et société inclusives, 92(6), 87-104.</w:t>
      </w:r>
    </w:p>
    <w:p w:rsidR="00E90641" w:rsidRPr="00FC0A58" w:rsidRDefault="00E90641" w:rsidP="00E90641">
      <w:pPr>
        <w:rPr>
          <w:sz w:val="22"/>
          <w:szCs w:val="22"/>
        </w:rPr>
      </w:pPr>
      <w:proofErr w:type="spellStart"/>
      <w:r w:rsidRPr="00FC0A58">
        <w:rPr>
          <w:sz w:val="22"/>
          <w:szCs w:val="22"/>
        </w:rPr>
        <w:t>Cefaï</w:t>
      </w:r>
      <w:proofErr w:type="spellEnd"/>
      <w:r w:rsidRPr="00FC0A58">
        <w:rPr>
          <w:sz w:val="22"/>
          <w:szCs w:val="22"/>
        </w:rPr>
        <w:t>, D. et al. (2012). Ethnographies de la participation, Participations, 4(3), 7-48. DOI</w:t>
      </w:r>
    </w:p>
    <w:p w:rsidR="00E90641" w:rsidRPr="00FC0A58" w:rsidRDefault="00E90641" w:rsidP="00E90641">
      <w:pPr>
        <w:rPr>
          <w:sz w:val="22"/>
          <w:szCs w:val="22"/>
        </w:rPr>
      </w:pPr>
      <w:r w:rsidRPr="00FC0A58">
        <w:rPr>
          <w:sz w:val="22"/>
          <w:szCs w:val="22"/>
        </w:rPr>
        <w:t>10.3917/parti.004.0005</w:t>
      </w:r>
    </w:p>
    <w:p w:rsidR="00E90641" w:rsidRPr="00FC0A58" w:rsidRDefault="00E90641" w:rsidP="00E90641">
      <w:pPr>
        <w:rPr>
          <w:sz w:val="22"/>
          <w:szCs w:val="22"/>
        </w:rPr>
      </w:pPr>
      <w:r w:rsidRPr="00FC0A58">
        <w:rPr>
          <w:sz w:val="22"/>
          <w:szCs w:val="22"/>
        </w:rPr>
        <w:t>Conseil de l’Europe (2009). Assurer la pleine participation grâce à la conception universelle.</w:t>
      </w:r>
    </w:p>
    <w:p w:rsidR="00E90641" w:rsidRPr="00FC0A58" w:rsidRDefault="00E90641" w:rsidP="00E90641">
      <w:pPr>
        <w:rPr>
          <w:sz w:val="22"/>
          <w:szCs w:val="22"/>
        </w:rPr>
      </w:pPr>
      <w:r w:rsidRPr="00FC0A58">
        <w:rPr>
          <w:sz w:val="22"/>
          <w:szCs w:val="22"/>
        </w:rPr>
        <w:t>Éditions du Conseil de l’Europe.</w:t>
      </w:r>
    </w:p>
    <w:p w:rsidR="00E90641" w:rsidRPr="00FC0A58" w:rsidRDefault="00E90641" w:rsidP="00E90641">
      <w:pPr>
        <w:rPr>
          <w:sz w:val="22"/>
          <w:szCs w:val="22"/>
        </w:rPr>
      </w:pPr>
      <w:r w:rsidRPr="00FC0A58">
        <w:rPr>
          <w:sz w:val="22"/>
          <w:szCs w:val="22"/>
        </w:rPr>
        <w:t xml:space="preserve">Dumas </w:t>
      </w:r>
      <w:proofErr w:type="spellStart"/>
      <w:r w:rsidRPr="00FC0A58">
        <w:rPr>
          <w:sz w:val="22"/>
          <w:szCs w:val="22"/>
        </w:rPr>
        <w:t>Reyssier</w:t>
      </w:r>
      <w:proofErr w:type="spellEnd"/>
      <w:r w:rsidRPr="00FC0A58">
        <w:rPr>
          <w:sz w:val="22"/>
          <w:szCs w:val="22"/>
        </w:rPr>
        <w:t xml:space="preserve">, S., </w:t>
      </w:r>
      <w:proofErr w:type="spellStart"/>
      <w:r w:rsidRPr="00FC0A58">
        <w:rPr>
          <w:sz w:val="22"/>
          <w:szCs w:val="22"/>
        </w:rPr>
        <w:t>Popescu-Jourdy</w:t>
      </w:r>
      <w:proofErr w:type="spellEnd"/>
      <w:r w:rsidRPr="00FC0A58">
        <w:rPr>
          <w:sz w:val="22"/>
          <w:szCs w:val="22"/>
        </w:rPr>
        <w:t xml:space="preserve">, D., &amp; </w:t>
      </w:r>
      <w:proofErr w:type="spellStart"/>
      <w:r w:rsidRPr="00FC0A58">
        <w:rPr>
          <w:sz w:val="22"/>
          <w:szCs w:val="22"/>
        </w:rPr>
        <w:t>Simonian</w:t>
      </w:r>
      <w:proofErr w:type="spellEnd"/>
      <w:r w:rsidRPr="00FC0A58">
        <w:rPr>
          <w:sz w:val="22"/>
          <w:szCs w:val="22"/>
        </w:rPr>
        <w:t>, S. (2024). Cartographier un campus universitaire pour mieux identifier son affordance en termes d'inclusion, Colloque Approches performatives pour une éducation inclusive de l'école à l'université, Université Aix-Marseille,</w:t>
      </w:r>
    </w:p>
    <w:p w:rsidR="00E90641" w:rsidRPr="00FC0A58" w:rsidRDefault="00E90641" w:rsidP="00E90641">
      <w:pPr>
        <w:rPr>
          <w:sz w:val="22"/>
          <w:szCs w:val="22"/>
        </w:rPr>
      </w:pPr>
      <w:r w:rsidRPr="00FC0A58">
        <w:rPr>
          <w:sz w:val="22"/>
          <w:szCs w:val="22"/>
        </w:rPr>
        <w:t>5-7 juin 2024, Aix-en-Provence.</w:t>
      </w:r>
    </w:p>
    <w:p w:rsidR="00E90641" w:rsidRPr="00FC0A58" w:rsidRDefault="00E90641" w:rsidP="00E90641">
      <w:pPr>
        <w:rPr>
          <w:sz w:val="22"/>
          <w:szCs w:val="22"/>
        </w:rPr>
      </w:pPr>
      <w:proofErr w:type="spellStart"/>
      <w:r w:rsidRPr="00FC0A58">
        <w:rPr>
          <w:sz w:val="22"/>
          <w:szCs w:val="22"/>
        </w:rPr>
        <w:t>Dupriez</w:t>
      </w:r>
      <w:proofErr w:type="spellEnd"/>
      <w:r w:rsidRPr="00FC0A58">
        <w:rPr>
          <w:sz w:val="22"/>
          <w:szCs w:val="22"/>
        </w:rPr>
        <w:t>, V. et Cornet, J. (2005). Chapitre 5. Méthodologie de la recherche-action-formation.</w:t>
      </w:r>
    </w:p>
    <w:p w:rsidR="00E90641" w:rsidRPr="00FC0A58" w:rsidRDefault="00E90641" w:rsidP="00E90641">
      <w:pPr>
        <w:rPr>
          <w:sz w:val="22"/>
          <w:szCs w:val="22"/>
        </w:rPr>
      </w:pPr>
      <w:r w:rsidRPr="00FC0A58">
        <w:rPr>
          <w:sz w:val="22"/>
          <w:szCs w:val="22"/>
        </w:rPr>
        <w:t>La rénovation de l'école primaire Comprendre les enjeux du changement pédagogique. (p.103-118). De Boeck Supérieur.</w:t>
      </w:r>
    </w:p>
    <w:p w:rsidR="00E90641" w:rsidRPr="00FC0A58" w:rsidRDefault="00E90641" w:rsidP="00E90641">
      <w:pPr>
        <w:rPr>
          <w:sz w:val="22"/>
          <w:szCs w:val="22"/>
        </w:rPr>
      </w:pPr>
      <w:r w:rsidRPr="00FC0A58">
        <w:rPr>
          <w:sz w:val="22"/>
          <w:szCs w:val="22"/>
        </w:rPr>
        <w:t xml:space="preserve">Honneth, A. (2010). La lutte pour la reconnaissance (trad. P. </w:t>
      </w:r>
      <w:proofErr w:type="spellStart"/>
      <w:r w:rsidRPr="00FC0A58">
        <w:rPr>
          <w:sz w:val="22"/>
          <w:szCs w:val="22"/>
        </w:rPr>
        <w:t>Rusch</w:t>
      </w:r>
      <w:proofErr w:type="spellEnd"/>
      <w:r w:rsidRPr="00FC0A58">
        <w:rPr>
          <w:sz w:val="22"/>
          <w:szCs w:val="22"/>
        </w:rPr>
        <w:t>). Éditions du Cerf.</w:t>
      </w:r>
    </w:p>
    <w:p w:rsidR="00E90641" w:rsidRPr="00FC0A58" w:rsidRDefault="00E90641" w:rsidP="00E90641">
      <w:pPr>
        <w:rPr>
          <w:sz w:val="22"/>
          <w:szCs w:val="22"/>
        </w:rPr>
      </w:pPr>
      <w:proofErr w:type="spellStart"/>
      <w:r w:rsidRPr="00FC0A58">
        <w:rPr>
          <w:sz w:val="22"/>
          <w:szCs w:val="22"/>
        </w:rPr>
        <w:t>Zask</w:t>
      </w:r>
      <w:proofErr w:type="spellEnd"/>
      <w:r w:rsidRPr="00FC0A58">
        <w:rPr>
          <w:sz w:val="22"/>
          <w:szCs w:val="22"/>
        </w:rPr>
        <w:t>, J. (2021). Chapitre 3. Participer a-t-il encore du sens ? La démocratie en action. Dans</w:t>
      </w:r>
    </w:p>
    <w:p w:rsidR="00E90641" w:rsidRPr="00FC0A58" w:rsidRDefault="00E90641" w:rsidP="00E90641">
      <w:pPr>
        <w:rPr>
          <w:sz w:val="22"/>
          <w:szCs w:val="22"/>
        </w:rPr>
      </w:pPr>
      <w:r w:rsidRPr="00FC0A58">
        <w:rPr>
          <w:sz w:val="22"/>
          <w:szCs w:val="22"/>
        </w:rPr>
        <w:t>È. Gardien. L'accompagnement par les pairs : Enjeux de participation et de professionnalisation (p. 63-78). Presses universitaires de Grenoble.</w:t>
      </w:r>
    </w:p>
    <w:p w:rsidR="00E90641" w:rsidRPr="00FC0A58" w:rsidRDefault="00E90641" w:rsidP="00E90641">
      <w:pPr>
        <w:rPr>
          <w:sz w:val="22"/>
          <w:szCs w:val="22"/>
        </w:rPr>
      </w:pPr>
    </w:p>
    <w:p w:rsidR="000E5836" w:rsidRDefault="00E90641" w:rsidP="00E90641">
      <w:pPr>
        <w:rPr>
          <w:sz w:val="22"/>
          <w:szCs w:val="22"/>
        </w:rPr>
      </w:pPr>
      <w:r w:rsidRPr="00FC0A58">
        <w:rPr>
          <w:sz w:val="22"/>
          <w:szCs w:val="22"/>
        </w:rPr>
        <w:t>Mots clés :</w:t>
      </w:r>
      <w:r>
        <w:rPr>
          <w:sz w:val="22"/>
          <w:szCs w:val="22"/>
        </w:rPr>
        <w:t xml:space="preserve"> </w:t>
      </w:r>
      <w:r w:rsidRPr="00FC0A58">
        <w:rPr>
          <w:sz w:val="22"/>
          <w:szCs w:val="22"/>
        </w:rPr>
        <w:t xml:space="preserve">université inclusive ; affordance ; participation ; autodétermination ; </w:t>
      </w:r>
      <w:proofErr w:type="spellStart"/>
      <w:r w:rsidRPr="00FC0A58">
        <w:rPr>
          <w:sz w:val="22"/>
          <w:szCs w:val="22"/>
        </w:rPr>
        <w:t>LéA</w:t>
      </w:r>
      <w:proofErr w:type="spellEnd"/>
      <w:r w:rsidRPr="00FC0A58">
        <w:rPr>
          <w:sz w:val="22"/>
          <w:szCs w:val="22"/>
        </w:rPr>
        <w:t xml:space="preserve"> ; Recherche-action-formation</w:t>
      </w:r>
    </w:p>
    <w:p w:rsidR="00E90641" w:rsidRPr="00E90641" w:rsidRDefault="00E90641" w:rsidP="00E90641">
      <w:pPr>
        <w:rPr>
          <w:sz w:val="22"/>
          <w:szCs w:val="22"/>
        </w:rPr>
      </w:pPr>
    </w:p>
    <w:p w:rsidR="000E5836" w:rsidRPr="000E5836" w:rsidRDefault="00C56C44" w:rsidP="000E5836">
      <w:pPr>
        <w:pBdr>
          <w:top w:val="single" w:sz="4" w:space="1" w:color="auto"/>
          <w:left w:val="single" w:sz="4" w:space="4" w:color="auto"/>
          <w:bottom w:val="single" w:sz="4" w:space="1" w:color="auto"/>
          <w:right w:val="single" w:sz="4" w:space="4" w:color="auto"/>
        </w:pBdr>
        <w:rPr>
          <w:b/>
          <w:bCs/>
          <w:color w:val="0070C0"/>
        </w:rPr>
      </w:pPr>
      <w:r w:rsidRPr="000E5836">
        <w:rPr>
          <w:b/>
          <w:bCs/>
          <w:color w:val="0070C0"/>
        </w:rPr>
        <w:t>Marie-Hélène Plumet</w:t>
      </w:r>
    </w:p>
    <w:p w:rsidR="000E5836" w:rsidRPr="000E5836" w:rsidRDefault="000E5836" w:rsidP="000E5836">
      <w:pPr>
        <w:pBdr>
          <w:top w:val="single" w:sz="4" w:space="1" w:color="auto"/>
          <w:left w:val="single" w:sz="4" w:space="4" w:color="auto"/>
          <w:bottom w:val="single" w:sz="4" w:space="1" w:color="auto"/>
          <w:right w:val="single" w:sz="4" w:space="4" w:color="auto"/>
        </w:pBdr>
        <w:outlineLvl w:val="0"/>
        <w:rPr>
          <w:rFonts w:eastAsia="Times New Roman" w:cs="Times New Roman"/>
          <w:b/>
          <w:bCs/>
          <w:color w:val="0070C0"/>
          <w:kern w:val="36"/>
        </w:rPr>
      </w:pPr>
      <w:r w:rsidRPr="000E5836">
        <w:rPr>
          <w:rStyle w:val="lev"/>
          <w:rFonts w:cs="Times New Roman"/>
          <w:b w:val="0"/>
          <w:bCs w:val="0"/>
          <w:color w:val="0070C0"/>
        </w:rPr>
        <w:t xml:space="preserve">Faciliter les études supérieures des étudiants avec TND ?  Appuis sur la recherche pour mieux comprendre l’expérience et les besoins des acteurs ainsi que l’impact des dispositifs d’accompagnement tels qu’Atypie </w:t>
      </w:r>
      <w:proofErr w:type="spellStart"/>
      <w:r w:rsidRPr="000E5836">
        <w:rPr>
          <w:rStyle w:val="lev"/>
          <w:rFonts w:cs="Times New Roman"/>
          <w:b w:val="0"/>
          <w:bCs w:val="0"/>
          <w:color w:val="0070C0"/>
        </w:rPr>
        <w:t>Friendly</w:t>
      </w:r>
      <w:proofErr w:type="spellEnd"/>
      <w:r w:rsidRPr="000E5836">
        <w:rPr>
          <w:rStyle w:val="lev"/>
          <w:rFonts w:cs="Times New Roman"/>
          <w:b w:val="0"/>
          <w:bCs w:val="0"/>
          <w:color w:val="0070C0"/>
        </w:rPr>
        <w:t>.</w:t>
      </w:r>
    </w:p>
    <w:p w:rsidR="000E5836" w:rsidRDefault="000E5836" w:rsidP="000E5836">
      <w:pPr>
        <w:jc w:val="both"/>
        <w:outlineLvl w:val="0"/>
        <w:rPr>
          <w:rFonts w:ascii="Times New Roman" w:eastAsia="Times New Roman" w:hAnsi="Times New Roman" w:cs="Times New Roman"/>
          <w:bCs/>
          <w:kern w:val="36"/>
        </w:rPr>
      </w:pPr>
    </w:p>
    <w:p w:rsidR="000E5836" w:rsidRPr="000E5836" w:rsidRDefault="000E5836" w:rsidP="000E5836">
      <w:pPr>
        <w:jc w:val="both"/>
        <w:outlineLvl w:val="0"/>
        <w:rPr>
          <w:rFonts w:ascii="Times New Roman" w:eastAsia="Times New Roman" w:hAnsi="Times New Roman" w:cs="Times New Roman"/>
          <w:bCs/>
          <w:kern w:val="36"/>
          <w:sz w:val="22"/>
          <w:szCs w:val="22"/>
        </w:rPr>
      </w:pPr>
      <w:r w:rsidRPr="000E5836">
        <w:rPr>
          <w:rFonts w:ascii="Times New Roman" w:eastAsia="Times New Roman" w:hAnsi="Times New Roman" w:cs="Times New Roman"/>
          <w:bCs/>
          <w:kern w:val="36"/>
          <w:sz w:val="22"/>
          <w:szCs w:val="22"/>
        </w:rPr>
        <w:t>Marie-Hélène PLUMET est maîtresse de conférences HDR</w:t>
      </w:r>
      <w:r>
        <w:rPr>
          <w:rFonts w:ascii="Times New Roman" w:eastAsia="Times New Roman" w:hAnsi="Times New Roman" w:cs="Times New Roman"/>
          <w:bCs/>
          <w:kern w:val="36"/>
          <w:sz w:val="22"/>
          <w:szCs w:val="22"/>
        </w:rPr>
        <w:t xml:space="preserve"> en psychologie à L’Université Paris Cité. Elle est</w:t>
      </w:r>
      <w:r w:rsidRPr="000E5836">
        <w:rPr>
          <w:rFonts w:ascii="Times New Roman" w:eastAsia="Times New Roman" w:hAnsi="Times New Roman" w:cs="Times New Roman"/>
          <w:bCs/>
          <w:kern w:val="36"/>
          <w:sz w:val="22"/>
          <w:szCs w:val="22"/>
        </w:rPr>
        <w:t xml:space="preserve"> </w:t>
      </w:r>
      <w:r w:rsidRPr="000E5836">
        <w:rPr>
          <w:rFonts w:ascii="Times New Roman" w:hAnsi="Times New Roman"/>
          <w:color w:val="000000" w:themeColor="text1"/>
          <w:sz w:val="22"/>
          <w:szCs w:val="22"/>
        </w:rPr>
        <w:t xml:space="preserve">membre du laboratoire de Psychopathologie et Processus de Santé </w:t>
      </w:r>
      <w:r>
        <w:rPr>
          <w:rFonts w:ascii="Times New Roman" w:hAnsi="Times New Roman"/>
          <w:sz w:val="22"/>
          <w:szCs w:val="22"/>
        </w:rPr>
        <w:t>et ses</w:t>
      </w:r>
      <w:r w:rsidRPr="000E5836">
        <w:rPr>
          <w:rFonts w:ascii="Times New Roman" w:hAnsi="Times New Roman"/>
          <w:sz w:val="22"/>
          <w:szCs w:val="22"/>
        </w:rPr>
        <w:t xml:space="preserve"> travaux </w:t>
      </w:r>
      <w:r w:rsidR="00125DAC">
        <w:rPr>
          <w:rFonts w:ascii="Times New Roman" w:hAnsi="Times New Roman"/>
          <w:sz w:val="22"/>
          <w:szCs w:val="22"/>
        </w:rPr>
        <w:t>questionnent les</w:t>
      </w:r>
      <w:r w:rsidRPr="000E5836">
        <w:rPr>
          <w:rFonts w:ascii="Times New Roman" w:hAnsi="Times New Roman"/>
          <w:sz w:val="22"/>
          <w:szCs w:val="22"/>
        </w:rPr>
        <w:t xml:space="preserve"> </w:t>
      </w:r>
      <w:r w:rsidRPr="000E5836">
        <w:rPr>
          <w:rFonts w:ascii="Times New Roman" w:hAnsi="Times New Roman"/>
          <w:color w:val="000000" w:themeColor="text1"/>
          <w:sz w:val="22"/>
          <w:szCs w:val="22"/>
        </w:rPr>
        <w:t xml:space="preserve">processus </w:t>
      </w:r>
      <w:r w:rsidR="00125DAC">
        <w:rPr>
          <w:rFonts w:ascii="Times New Roman" w:hAnsi="Times New Roman"/>
          <w:color w:val="000000" w:themeColor="text1"/>
          <w:sz w:val="22"/>
          <w:szCs w:val="22"/>
        </w:rPr>
        <w:t xml:space="preserve">spécifiques ou généraux </w:t>
      </w:r>
      <w:r w:rsidRPr="000E5836">
        <w:rPr>
          <w:rFonts w:ascii="Times New Roman" w:hAnsi="Times New Roman"/>
          <w:color w:val="000000" w:themeColor="text1"/>
          <w:sz w:val="22"/>
          <w:szCs w:val="22"/>
        </w:rPr>
        <w:t>de la cognition sociale</w:t>
      </w:r>
      <w:r w:rsidR="00125DAC">
        <w:rPr>
          <w:rFonts w:ascii="Times New Roman" w:hAnsi="Times New Roman"/>
          <w:color w:val="000000" w:themeColor="text1"/>
          <w:sz w:val="22"/>
          <w:szCs w:val="22"/>
        </w:rPr>
        <w:t xml:space="preserve"> (TSA et autres TND)</w:t>
      </w:r>
      <w:r w:rsidRPr="000E5836">
        <w:rPr>
          <w:rFonts w:ascii="Times New Roman" w:hAnsi="Times New Roman"/>
          <w:color w:val="000000" w:themeColor="text1"/>
          <w:sz w:val="22"/>
          <w:szCs w:val="22"/>
        </w:rPr>
        <w:t xml:space="preserve">. </w:t>
      </w:r>
      <w:r w:rsidR="00125DAC">
        <w:rPr>
          <w:rFonts w:ascii="Times New Roman" w:hAnsi="Times New Roman"/>
          <w:color w:val="000000" w:themeColor="text1"/>
          <w:sz w:val="22"/>
          <w:szCs w:val="22"/>
        </w:rPr>
        <w:t>E</w:t>
      </w:r>
      <w:r w:rsidRPr="000E5836">
        <w:rPr>
          <w:rFonts w:ascii="Times New Roman" w:hAnsi="Times New Roman"/>
          <w:color w:val="000000" w:themeColor="text1"/>
          <w:sz w:val="22"/>
          <w:szCs w:val="22"/>
        </w:rPr>
        <w:t>lle s’intéresse</w:t>
      </w:r>
      <w:r w:rsidR="00125DAC">
        <w:rPr>
          <w:rFonts w:ascii="Times New Roman" w:hAnsi="Times New Roman"/>
          <w:color w:val="000000" w:themeColor="text1"/>
          <w:sz w:val="22"/>
          <w:szCs w:val="22"/>
        </w:rPr>
        <w:t xml:space="preserve"> également</w:t>
      </w:r>
      <w:r w:rsidRPr="000E5836">
        <w:rPr>
          <w:rFonts w:ascii="Times New Roman" w:hAnsi="Times New Roman"/>
          <w:color w:val="000000" w:themeColor="text1"/>
          <w:sz w:val="22"/>
          <w:szCs w:val="22"/>
        </w:rPr>
        <w:t xml:space="preserve"> au suivi longitudinal des trajectoires de d</w:t>
      </w:r>
      <w:r>
        <w:rPr>
          <w:rFonts w:ascii="Times New Roman" w:hAnsi="Times New Roman"/>
          <w:color w:val="000000" w:themeColor="text1"/>
          <w:sz w:val="22"/>
          <w:szCs w:val="22"/>
        </w:rPr>
        <w:t>é</w:t>
      </w:r>
      <w:r w:rsidRPr="000E5836">
        <w:rPr>
          <w:rFonts w:ascii="Times New Roman" w:hAnsi="Times New Roman"/>
          <w:color w:val="000000" w:themeColor="text1"/>
          <w:sz w:val="22"/>
          <w:szCs w:val="22"/>
        </w:rPr>
        <w:t xml:space="preserve">veloppement d’individus </w:t>
      </w:r>
      <w:r w:rsidR="00125DAC">
        <w:rPr>
          <w:rFonts w:ascii="Times New Roman" w:hAnsi="Times New Roman"/>
          <w:color w:val="000000" w:themeColor="text1"/>
          <w:sz w:val="22"/>
          <w:szCs w:val="22"/>
        </w:rPr>
        <w:t>avec TSA</w:t>
      </w:r>
      <w:r w:rsidRPr="000E5836">
        <w:rPr>
          <w:rFonts w:ascii="Times New Roman" w:hAnsi="Times New Roman"/>
          <w:color w:val="000000" w:themeColor="text1"/>
          <w:sz w:val="22"/>
          <w:szCs w:val="22"/>
        </w:rPr>
        <w:t xml:space="preserve"> dans des dispositifs éducatifs inclusif</w:t>
      </w:r>
      <w:r w:rsidRPr="000E5836">
        <w:rPr>
          <w:rFonts w:ascii="Times New Roman" w:hAnsi="Times New Roman"/>
          <w:color w:val="000000" w:themeColor="text1"/>
          <w:sz w:val="22"/>
          <w:szCs w:val="22"/>
        </w:rPr>
        <w:t>s</w:t>
      </w:r>
      <w:r w:rsidR="00125DAC">
        <w:rPr>
          <w:rFonts w:ascii="Times New Roman" w:hAnsi="Times New Roman"/>
          <w:color w:val="000000" w:themeColor="text1"/>
          <w:sz w:val="22"/>
          <w:szCs w:val="22"/>
        </w:rPr>
        <w:t xml:space="preserve"> (crèches, UEM, université).</w:t>
      </w:r>
    </w:p>
    <w:p w:rsidR="000E5836" w:rsidRPr="000E5836" w:rsidRDefault="000E5836" w:rsidP="000E5836">
      <w:pPr>
        <w:outlineLvl w:val="0"/>
        <w:rPr>
          <w:rStyle w:val="lev"/>
          <w:rFonts w:ascii="Times New Roman" w:hAnsi="Times New Roman" w:cs="Times New Roman"/>
          <w:color w:val="000000" w:themeColor="text1"/>
          <w:sz w:val="22"/>
          <w:szCs w:val="22"/>
        </w:rPr>
      </w:pPr>
    </w:p>
    <w:p w:rsidR="000E5836" w:rsidRPr="000E5836" w:rsidRDefault="000E5836" w:rsidP="000E5836">
      <w:pPr>
        <w:outlineLvl w:val="0"/>
        <w:rPr>
          <w:rFonts w:eastAsia="Times New Roman" w:cs="Times New Roman"/>
          <w:b/>
          <w:bCs/>
          <w:color w:val="000000" w:themeColor="text1"/>
          <w:kern w:val="36"/>
          <w:sz w:val="22"/>
          <w:szCs w:val="22"/>
        </w:rPr>
      </w:pPr>
      <w:r w:rsidRPr="000E5836">
        <w:rPr>
          <w:rStyle w:val="lev"/>
          <w:rFonts w:cs="Times New Roman"/>
          <w:color w:val="000000" w:themeColor="text1"/>
          <w:sz w:val="22"/>
          <w:szCs w:val="22"/>
        </w:rPr>
        <w:t xml:space="preserve">Faciliter les études supérieures des étudiants avec TND ?  Appuis sur la recherche pour mieux comprendre l’expérience et les besoins des acteurs ainsi que l’impact des dispositifs d’accompagnement tels qu’Atypie </w:t>
      </w:r>
      <w:proofErr w:type="spellStart"/>
      <w:r w:rsidRPr="000E5836">
        <w:rPr>
          <w:rStyle w:val="lev"/>
          <w:rFonts w:cs="Times New Roman"/>
          <w:color w:val="000000" w:themeColor="text1"/>
          <w:sz w:val="22"/>
          <w:szCs w:val="22"/>
        </w:rPr>
        <w:t>Friendly</w:t>
      </w:r>
      <w:proofErr w:type="spellEnd"/>
      <w:r w:rsidRPr="000E5836">
        <w:rPr>
          <w:rStyle w:val="lev"/>
          <w:rFonts w:cs="Times New Roman"/>
          <w:color w:val="000000" w:themeColor="text1"/>
          <w:sz w:val="22"/>
          <w:szCs w:val="22"/>
        </w:rPr>
        <w:t>.</w:t>
      </w:r>
    </w:p>
    <w:p w:rsidR="000E5836" w:rsidRPr="000E5836" w:rsidRDefault="000E5836" w:rsidP="000E5836">
      <w:pPr>
        <w:jc w:val="both"/>
        <w:outlineLvl w:val="0"/>
        <w:rPr>
          <w:rFonts w:eastAsia="Times New Roman" w:cs="Times New Roman"/>
          <w:bCs/>
          <w:kern w:val="36"/>
          <w:sz w:val="22"/>
          <w:szCs w:val="22"/>
        </w:rPr>
      </w:pPr>
    </w:p>
    <w:p w:rsidR="000E5836" w:rsidRPr="000E5836" w:rsidRDefault="000E5836" w:rsidP="000E5836">
      <w:pPr>
        <w:jc w:val="both"/>
        <w:outlineLvl w:val="0"/>
        <w:rPr>
          <w:rFonts w:eastAsia="Times New Roman" w:cs="Times New Roman"/>
          <w:bCs/>
          <w:kern w:val="36"/>
          <w:sz w:val="22"/>
          <w:szCs w:val="22"/>
        </w:rPr>
      </w:pPr>
      <w:r w:rsidRPr="000E5836">
        <w:rPr>
          <w:rFonts w:eastAsia="Times New Roman" w:cs="Times New Roman"/>
          <w:bCs/>
          <w:kern w:val="36"/>
          <w:sz w:val="22"/>
          <w:szCs w:val="22"/>
        </w:rPr>
        <w:t xml:space="preserve">L’éducation inclusive et la neurodiversité sont au </w:t>
      </w:r>
      <w:proofErr w:type="spellStart"/>
      <w:r w:rsidRPr="000E5836">
        <w:rPr>
          <w:rFonts w:eastAsia="Times New Roman" w:cs="Times New Roman"/>
          <w:bCs/>
          <w:kern w:val="36"/>
          <w:sz w:val="22"/>
          <w:szCs w:val="22"/>
        </w:rPr>
        <w:t>coeur</w:t>
      </w:r>
      <w:proofErr w:type="spellEnd"/>
      <w:r w:rsidRPr="000E5836">
        <w:rPr>
          <w:rFonts w:eastAsia="Times New Roman" w:cs="Times New Roman"/>
          <w:bCs/>
          <w:kern w:val="36"/>
          <w:sz w:val="22"/>
          <w:szCs w:val="22"/>
        </w:rPr>
        <w:t xml:space="preserve"> de mes travaux de recherche depuis plus de 30 ans. Dès la création des premières classes inclusives pour enfants autistes en école primaire en France (1992), nos équipes ont été sollicitées pour mener des études de suivi des trajectoires des enfants et </w:t>
      </w:r>
      <w:proofErr w:type="gramStart"/>
      <w:r w:rsidRPr="000E5836">
        <w:rPr>
          <w:rFonts w:eastAsia="Times New Roman" w:cs="Times New Roman"/>
          <w:bCs/>
          <w:kern w:val="36"/>
          <w:sz w:val="22"/>
          <w:szCs w:val="22"/>
        </w:rPr>
        <w:t>de  leurs</w:t>
      </w:r>
      <w:proofErr w:type="gramEnd"/>
      <w:r w:rsidRPr="000E5836">
        <w:rPr>
          <w:rFonts w:eastAsia="Times New Roman" w:cs="Times New Roman"/>
          <w:bCs/>
          <w:kern w:val="36"/>
          <w:sz w:val="22"/>
          <w:szCs w:val="22"/>
        </w:rPr>
        <w:t xml:space="preserve"> partenaires (pairs typiques,  professionnels). Je poursuis aujourd’hui cette démarche de recherche appliquée aux dispositifs inclusifs depuis la crèche, les écoles maternelles (</w:t>
      </w:r>
      <w:proofErr w:type="spellStart"/>
      <w:r w:rsidRPr="000E5836">
        <w:rPr>
          <w:rFonts w:eastAsia="Times New Roman" w:cs="Times New Roman"/>
          <w:bCs/>
          <w:kern w:val="36"/>
          <w:sz w:val="22"/>
          <w:szCs w:val="22"/>
        </w:rPr>
        <w:t>Bitner</w:t>
      </w:r>
      <w:proofErr w:type="spellEnd"/>
      <w:r w:rsidRPr="000E5836">
        <w:rPr>
          <w:rFonts w:eastAsia="Times New Roman" w:cs="Times New Roman"/>
          <w:bCs/>
          <w:kern w:val="36"/>
          <w:sz w:val="22"/>
          <w:szCs w:val="22"/>
        </w:rPr>
        <w:t xml:space="preserve"> et al., 2025 ; </w:t>
      </w:r>
      <w:proofErr w:type="spellStart"/>
      <w:r w:rsidRPr="000E5836">
        <w:rPr>
          <w:rFonts w:eastAsia="Times New Roman" w:cs="Times New Roman"/>
          <w:bCs/>
          <w:kern w:val="36"/>
          <w:sz w:val="22"/>
          <w:szCs w:val="22"/>
        </w:rPr>
        <w:t>Briet</w:t>
      </w:r>
      <w:proofErr w:type="spellEnd"/>
      <w:r w:rsidRPr="000E5836">
        <w:rPr>
          <w:rFonts w:eastAsia="Times New Roman" w:cs="Times New Roman"/>
          <w:bCs/>
          <w:kern w:val="36"/>
          <w:sz w:val="22"/>
          <w:szCs w:val="22"/>
        </w:rPr>
        <w:t xml:space="preserve"> et al., 2022 ; Plumet et al., </w:t>
      </w:r>
      <w:proofErr w:type="gramStart"/>
      <w:r w:rsidRPr="000E5836">
        <w:rPr>
          <w:rFonts w:eastAsia="Times New Roman" w:cs="Times New Roman"/>
          <w:bCs/>
          <w:kern w:val="36"/>
          <w:sz w:val="22"/>
          <w:szCs w:val="22"/>
        </w:rPr>
        <w:t>2017;</w:t>
      </w:r>
      <w:proofErr w:type="gramEnd"/>
      <w:r w:rsidRPr="000E5836">
        <w:rPr>
          <w:rFonts w:eastAsia="Times New Roman" w:cs="Times New Roman"/>
          <w:bCs/>
          <w:kern w:val="36"/>
          <w:sz w:val="22"/>
          <w:szCs w:val="22"/>
        </w:rPr>
        <w:t xml:space="preserve"> </w:t>
      </w:r>
      <w:proofErr w:type="spellStart"/>
      <w:r w:rsidRPr="000E5836">
        <w:rPr>
          <w:rFonts w:eastAsia="Times New Roman" w:cs="Times New Roman"/>
          <w:bCs/>
          <w:kern w:val="36"/>
          <w:sz w:val="22"/>
          <w:szCs w:val="22"/>
        </w:rPr>
        <w:t>Tsamitrou</w:t>
      </w:r>
      <w:proofErr w:type="spellEnd"/>
      <w:r w:rsidRPr="000E5836">
        <w:rPr>
          <w:rFonts w:eastAsia="Times New Roman" w:cs="Times New Roman"/>
          <w:bCs/>
          <w:kern w:val="36"/>
          <w:sz w:val="22"/>
          <w:szCs w:val="22"/>
        </w:rPr>
        <w:t xml:space="preserve"> &amp; Plumet, 2022)  et jusqu’à l’université où je participe à </w:t>
      </w:r>
      <w:r w:rsidRPr="000E5836">
        <w:rPr>
          <w:rFonts w:eastAsia="Times New Roman" w:cs="Times New Roman"/>
          <w:bCs/>
          <w:kern w:val="36"/>
          <w:sz w:val="22"/>
          <w:szCs w:val="22"/>
        </w:rPr>
        <w:lastRenderedPageBreak/>
        <w:t xml:space="preserve">l’accompagnement d’étudiants TND, et à la construction d’outils mutualisés du programme inter-universitaire Atypie </w:t>
      </w:r>
      <w:proofErr w:type="spellStart"/>
      <w:r w:rsidRPr="000E5836">
        <w:rPr>
          <w:rFonts w:eastAsia="Times New Roman" w:cs="Times New Roman"/>
          <w:bCs/>
          <w:kern w:val="36"/>
          <w:sz w:val="22"/>
          <w:szCs w:val="22"/>
        </w:rPr>
        <w:t>Friendly</w:t>
      </w:r>
      <w:proofErr w:type="spellEnd"/>
      <w:r w:rsidRPr="000E5836">
        <w:rPr>
          <w:rFonts w:eastAsia="Times New Roman" w:cs="Times New Roman"/>
          <w:bCs/>
          <w:kern w:val="36"/>
          <w:sz w:val="22"/>
          <w:szCs w:val="22"/>
        </w:rPr>
        <w:t>..</w:t>
      </w:r>
    </w:p>
    <w:p w:rsidR="000E5836" w:rsidRPr="000E5836" w:rsidRDefault="000E5836" w:rsidP="000E5836">
      <w:pPr>
        <w:jc w:val="both"/>
        <w:outlineLvl w:val="0"/>
        <w:rPr>
          <w:rFonts w:eastAsia="Times New Roman" w:cs="Times New Roman"/>
          <w:bCs/>
          <w:kern w:val="36"/>
          <w:sz w:val="22"/>
          <w:szCs w:val="22"/>
        </w:rPr>
      </w:pPr>
      <w:r w:rsidRPr="000E5836">
        <w:rPr>
          <w:rFonts w:eastAsia="Times New Roman" w:cs="Times New Roman"/>
          <w:bCs/>
          <w:kern w:val="36"/>
          <w:sz w:val="22"/>
          <w:szCs w:val="22"/>
        </w:rPr>
        <w:t xml:space="preserve"> Au cours de cette conférence, je présenterai d’abord les perceptions et expériences d’étudiants TSA dans leurs études supérieures ainsi que celles des personnel pédagogiques ou administratifs, à travers deux enquêtes qualitatives menées en France par notre Laboratoire (LPPS, </w:t>
      </w:r>
      <w:proofErr w:type="spellStart"/>
      <w:r w:rsidRPr="000E5836">
        <w:rPr>
          <w:rFonts w:eastAsia="Times New Roman" w:cs="Times New Roman"/>
          <w:bCs/>
          <w:kern w:val="36"/>
          <w:sz w:val="22"/>
          <w:szCs w:val="22"/>
        </w:rPr>
        <w:t>UPCité</w:t>
      </w:r>
      <w:proofErr w:type="spellEnd"/>
      <w:r w:rsidRPr="000E5836">
        <w:rPr>
          <w:rFonts w:eastAsia="Times New Roman" w:cs="Times New Roman"/>
          <w:bCs/>
          <w:kern w:val="36"/>
          <w:sz w:val="22"/>
          <w:szCs w:val="22"/>
        </w:rPr>
        <w:t>), permettant de dégager les convergences ou écarts entre ces points de vue respectifs (</w:t>
      </w:r>
      <w:proofErr w:type="spellStart"/>
      <w:r w:rsidRPr="000E5836">
        <w:rPr>
          <w:rFonts w:eastAsia="Times New Roman" w:cs="Times New Roman"/>
          <w:bCs/>
          <w:kern w:val="36"/>
          <w:sz w:val="22"/>
          <w:szCs w:val="22"/>
        </w:rPr>
        <w:t>McPeake</w:t>
      </w:r>
      <w:proofErr w:type="spellEnd"/>
      <w:r w:rsidRPr="000E5836">
        <w:rPr>
          <w:rFonts w:eastAsia="Times New Roman" w:cs="Times New Roman"/>
          <w:bCs/>
          <w:kern w:val="36"/>
          <w:sz w:val="22"/>
          <w:szCs w:val="22"/>
        </w:rPr>
        <w:t xml:space="preserve"> et al., 2023, 2024). Puis, nous examinerons comment le dispositif Atypie </w:t>
      </w:r>
      <w:proofErr w:type="spellStart"/>
      <w:r w:rsidRPr="000E5836">
        <w:rPr>
          <w:rFonts w:eastAsia="Times New Roman" w:cs="Times New Roman"/>
          <w:bCs/>
          <w:kern w:val="36"/>
          <w:sz w:val="22"/>
          <w:szCs w:val="22"/>
        </w:rPr>
        <w:t>Friendly</w:t>
      </w:r>
      <w:proofErr w:type="spellEnd"/>
      <w:r w:rsidRPr="000E5836">
        <w:rPr>
          <w:rFonts w:eastAsia="Times New Roman" w:cs="Times New Roman"/>
          <w:bCs/>
          <w:kern w:val="36"/>
          <w:sz w:val="22"/>
          <w:szCs w:val="22"/>
        </w:rPr>
        <w:t xml:space="preserve"> cherche à répondre aux besoins de part et d’autre, dans une démarche d’accompagnement global des personnes concernées. Un focus sera fait sur les outils permettant d’identifier et suivr</w:t>
      </w:r>
      <w:r>
        <w:rPr>
          <w:rFonts w:eastAsia="Times New Roman" w:cs="Times New Roman"/>
          <w:bCs/>
          <w:kern w:val="36"/>
          <w:sz w:val="22"/>
          <w:szCs w:val="22"/>
        </w:rPr>
        <w:t>e</w:t>
      </w:r>
      <w:r w:rsidRPr="000E5836">
        <w:rPr>
          <w:rFonts w:eastAsia="Times New Roman" w:cs="Times New Roman"/>
          <w:bCs/>
          <w:kern w:val="36"/>
          <w:sz w:val="22"/>
          <w:szCs w:val="22"/>
        </w:rPr>
        <w:t xml:space="preserve"> les besoins spécifiques de chaque </w:t>
      </w:r>
      <w:proofErr w:type="spellStart"/>
      <w:proofErr w:type="gramStart"/>
      <w:r w:rsidRPr="000E5836">
        <w:rPr>
          <w:rFonts w:eastAsia="Times New Roman" w:cs="Times New Roman"/>
          <w:bCs/>
          <w:kern w:val="36"/>
          <w:sz w:val="22"/>
          <w:szCs w:val="22"/>
        </w:rPr>
        <w:t>étudiant.e</w:t>
      </w:r>
      <w:proofErr w:type="spellEnd"/>
      <w:proofErr w:type="gramEnd"/>
      <w:r w:rsidRPr="000E5836">
        <w:rPr>
          <w:rFonts w:eastAsia="Times New Roman" w:cs="Times New Roman"/>
          <w:bCs/>
          <w:kern w:val="36"/>
          <w:sz w:val="22"/>
          <w:szCs w:val="22"/>
        </w:rPr>
        <w:t xml:space="preserve"> TND lors de son parcours, et d’ajuster aménagements et accompagnements. Enfin, je présenterai les défis méthodologiques de l’évaluation de l’impact de tels dispositifs, à partir d’une enquête multicentrique de satisfaction et qualité de vie menée auprès d’étudiants TSA et TDAH (</w:t>
      </w:r>
      <w:proofErr w:type="spellStart"/>
      <w:r w:rsidRPr="000E5836">
        <w:rPr>
          <w:rFonts w:eastAsia="Times New Roman" w:cs="Times New Roman"/>
          <w:bCs/>
          <w:kern w:val="36"/>
          <w:sz w:val="22"/>
          <w:szCs w:val="22"/>
        </w:rPr>
        <w:t>Cilia</w:t>
      </w:r>
      <w:proofErr w:type="spellEnd"/>
      <w:r w:rsidRPr="000E5836">
        <w:rPr>
          <w:rFonts w:eastAsia="Times New Roman" w:cs="Times New Roman"/>
          <w:bCs/>
          <w:kern w:val="36"/>
          <w:sz w:val="22"/>
          <w:szCs w:val="22"/>
        </w:rPr>
        <w:t xml:space="preserve"> et al., 2025). En conclusion, des perspectives seront proposées pour renforcer la mise en œuvre de recherches participatives répondant aux enjeux individuels et collectifs d’une société inclusive.</w:t>
      </w:r>
    </w:p>
    <w:p w:rsidR="000E5836" w:rsidRPr="000E5836" w:rsidRDefault="000E5836" w:rsidP="000E5836">
      <w:pPr>
        <w:outlineLvl w:val="0"/>
        <w:rPr>
          <w:rFonts w:eastAsia="Times New Roman" w:cs="Times New Roman"/>
          <w:b/>
          <w:bCs/>
          <w:kern w:val="36"/>
          <w:sz w:val="22"/>
          <w:szCs w:val="22"/>
        </w:rPr>
      </w:pPr>
    </w:p>
    <w:p w:rsidR="000E5836" w:rsidRPr="000E5836" w:rsidRDefault="000E5836" w:rsidP="00966500">
      <w:pPr>
        <w:rPr>
          <w:sz w:val="22"/>
          <w:szCs w:val="22"/>
        </w:rPr>
      </w:pPr>
    </w:p>
    <w:p w:rsidR="00C56C44" w:rsidRPr="00937A94" w:rsidRDefault="00C56C44" w:rsidP="00966500">
      <w:pPr>
        <w:rPr>
          <w:sz w:val="22"/>
          <w:szCs w:val="22"/>
        </w:rPr>
      </w:pPr>
    </w:p>
    <w:p w:rsidR="00C56C44" w:rsidRPr="00937A94" w:rsidRDefault="00C56C44" w:rsidP="00937A94">
      <w:pPr>
        <w:pBdr>
          <w:top w:val="single" w:sz="4" w:space="1" w:color="auto"/>
          <w:left w:val="single" w:sz="4" w:space="4" w:color="auto"/>
          <w:bottom w:val="single" w:sz="4" w:space="1" w:color="auto"/>
          <w:right w:val="single" w:sz="4" w:space="4" w:color="auto"/>
        </w:pBdr>
        <w:rPr>
          <w:b/>
          <w:bCs/>
          <w:color w:val="0070C0"/>
        </w:rPr>
      </w:pPr>
      <w:r w:rsidRPr="00937A94">
        <w:rPr>
          <w:b/>
          <w:bCs/>
          <w:color w:val="0070C0"/>
        </w:rPr>
        <w:t xml:space="preserve">Nathalie </w:t>
      </w:r>
      <w:proofErr w:type="spellStart"/>
      <w:r w:rsidRPr="00937A94">
        <w:rPr>
          <w:b/>
          <w:bCs/>
          <w:color w:val="0070C0"/>
        </w:rPr>
        <w:t>Quartenoud-Macherel</w:t>
      </w:r>
      <w:proofErr w:type="spellEnd"/>
    </w:p>
    <w:p w:rsidR="00937A94" w:rsidRPr="00937A94" w:rsidRDefault="00937A94" w:rsidP="00937A94">
      <w:pPr>
        <w:pBdr>
          <w:top w:val="single" w:sz="4" w:space="1" w:color="auto"/>
          <w:left w:val="single" w:sz="4" w:space="4" w:color="auto"/>
          <w:bottom w:val="single" w:sz="4" w:space="1" w:color="auto"/>
          <w:right w:val="single" w:sz="4" w:space="4" w:color="auto"/>
        </w:pBdr>
        <w:rPr>
          <w:color w:val="0070C0"/>
        </w:rPr>
      </w:pPr>
      <w:r w:rsidRPr="00937A94">
        <w:rPr>
          <w:color w:val="0070C0"/>
        </w:rPr>
        <w:t>Autisme, hautes études et autodétermination</w:t>
      </w:r>
    </w:p>
    <w:p w:rsidR="00937A94" w:rsidRPr="00937A94" w:rsidRDefault="00937A94" w:rsidP="00966500">
      <w:pPr>
        <w:rPr>
          <w:b/>
          <w:bCs/>
        </w:rPr>
      </w:pPr>
    </w:p>
    <w:p w:rsidR="00125DAC" w:rsidRPr="00937A94" w:rsidRDefault="00125DAC" w:rsidP="00966500">
      <w:pPr>
        <w:rPr>
          <w:sz w:val="22"/>
          <w:szCs w:val="22"/>
        </w:rPr>
      </w:pPr>
    </w:p>
    <w:p w:rsidR="00125DAC" w:rsidRDefault="00125DAC" w:rsidP="00937A94">
      <w:pPr>
        <w:rPr>
          <w:sz w:val="22"/>
          <w:szCs w:val="22"/>
        </w:rPr>
      </w:pPr>
      <w:r w:rsidRPr="00937A94">
        <w:rPr>
          <w:b/>
          <w:bCs/>
          <w:sz w:val="22"/>
          <w:szCs w:val="22"/>
        </w:rPr>
        <w:t xml:space="preserve">Nathalie QUARTENOUD-MACHEREL </w:t>
      </w:r>
      <w:r w:rsidRPr="00937A94">
        <w:rPr>
          <w:sz w:val="22"/>
          <w:szCs w:val="22"/>
        </w:rPr>
        <w:t>est chargée de cours, de projets et de recherche à l’Université de Fribourg. Elle dirige le projet « </w:t>
      </w:r>
      <w:proofErr w:type="spellStart"/>
      <w:r w:rsidRPr="00937A94">
        <w:rPr>
          <w:sz w:val="22"/>
          <w:szCs w:val="22"/>
        </w:rPr>
        <w:t>NeuoDiversUnis</w:t>
      </w:r>
      <w:proofErr w:type="spellEnd"/>
      <w:r w:rsidRPr="00937A94">
        <w:rPr>
          <w:sz w:val="22"/>
          <w:szCs w:val="22"/>
        </w:rPr>
        <w:t xml:space="preserve"> » qui promeut l’inclusion des étudiants </w:t>
      </w:r>
      <w:proofErr w:type="spellStart"/>
      <w:r w:rsidRPr="00937A94">
        <w:rPr>
          <w:sz w:val="22"/>
          <w:szCs w:val="22"/>
        </w:rPr>
        <w:t>neuroatypiques</w:t>
      </w:r>
      <w:proofErr w:type="spellEnd"/>
      <w:r w:rsidRPr="00937A94">
        <w:rPr>
          <w:sz w:val="22"/>
          <w:szCs w:val="22"/>
        </w:rPr>
        <w:t xml:space="preserve"> dans le contexte des études supérieures en Suisse</w:t>
      </w:r>
      <w:r w:rsidR="00937A94" w:rsidRPr="00937A94">
        <w:rPr>
          <w:sz w:val="22"/>
          <w:szCs w:val="22"/>
        </w:rPr>
        <w:t xml:space="preserve"> en collaboration avec les universités de Bern, Genève, Neuchâtel, l’</w:t>
      </w:r>
      <w:proofErr w:type="spellStart"/>
      <w:r w:rsidR="00937A94" w:rsidRPr="00937A94">
        <w:rPr>
          <w:sz w:val="22"/>
          <w:szCs w:val="22"/>
        </w:rPr>
        <w:t>Ecole</w:t>
      </w:r>
      <w:proofErr w:type="spellEnd"/>
      <w:r w:rsidR="00937A94" w:rsidRPr="00937A94">
        <w:rPr>
          <w:sz w:val="22"/>
          <w:szCs w:val="22"/>
        </w:rPr>
        <w:t xml:space="preserve"> Polytechnique Fédérale de Lausanne et la </w:t>
      </w:r>
      <w:proofErr w:type="spellStart"/>
      <w:r w:rsidR="00937A94" w:rsidRPr="00937A94">
        <w:rPr>
          <w:sz w:val="22"/>
          <w:szCs w:val="22"/>
        </w:rPr>
        <w:t>Hochschule</w:t>
      </w:r>
      <w:proofErr w:type="spellEnd"/>
      <w:r w:rsidR="00937A94" w:rsidRPr="00937A94">
        <w:rPr>
          <w:sz w:val="22"/>
          <w:szCs w:val="22"/>
        </w:rPr>
        <w:t xml:space="preserve"> Luzern, soutenu par </w:t>
      </w:r>
      <w:proofErr w:type="spellStart"/>
      <w:r w:rsidR="00937A94" w:rsidRPr="00937A94">
        <w:rPr>
          <w:sz w:val="22"/>
          <w:szCs w:val="22"/>
        </w:rPr>
        <w:t>SwissUniversities</w:t>
      </w:r>
      <w:proofErr w:type="spellEnd"/>
      <w:r w:rsidR="00937A94" w:rsidRPr="00937A94">
        <w:rPr>
          <w:sz w:val="22"/>
          <w:szCs w:val="22"/>
        </w:rPr>
        <w:t xml:space="preserve">. </w:t>
      </w:r>
      <w:r w:rsidRPr="00937A94">
        <w:rPr>
          <w:sz w:val="22"/>
          <w:szCs w:val="22"/>
        </w:rPr>
        <w:t>Ses travaux s’intéressent à l’autisme sous l’angle de l’autodétermination. Ils abordent la question du digital au service de l’inclusion et des dynamiques du travail en équipe.</w:t>
      </w:r>
    </w:p>
    <w:p w:rsidR="00937A94" w:rsidRDefault="00937A94" w:rsidP="00937A94">
      <w:pPr>
        <w:rPr>
          <w:sz w:val="22"/>
          <w:szCs w:val="22"/>
        </w:rPr>
      </w:pPr>
    </w:p>
    <w:p w:rsidR="00937A94" w:rsidRPr="00937A94" w:rsidRDefault="00937A94" w:rsidP="00937A94">
      <w:pPr>
        <w:rPr>
          <w:b/>
          <w:bCs/>
          <w:sz w:val="22"/>
          <w:szCs w:val="22"/>
        </w:rPr>
      </w:pPr>
      <w:r w:rsidRPr="00937A94">
        <w:rPr>
          <w:b/>
          <w:bCs/>
          <w:sz w:val="22"/>
          <w:szCs w:val="22"/>
        </w:rPr>
        <w:t>Autisme, hautes études et autodétermination</w:t>
      </w:r>
    </w:p>
    <w:p w:rsidR="00937A94" w:rsidRPr="00937A94" w:rsidRDefault="00937A94" w:rsidP="00937A94">
      <w:pPr>
        <w:rPr>
          <w:sz w:val="22"/>
          <w:szCs w:val="22"/>
        </w:rPr>
      </w:pPr>
    </w:p>
    <w:p w:rsidR="00937A94" w:rsidRPr="00937A94" w:rsidRDefault="00937A94" w:rsidP="00937A94">
      <w:pPr>
        <w:rPr>
          <w:sz w:val="22"/>
          <w:szCs w:val="22"/>
        </w:rPr>
      </w:pPr>
      <w:r w:rsidRPr="00937A94">
        <w:rPr>
          <w:sz w:val="22"/>
          <w:szCs w:val="22"/>
        </w:rPr>
        <w:t>Dans l'enseignement supérieur, le nombre d'</w:t>
      </w:r>
      <w:proofErr w:type="spellStart"/>
      <w:r w:rsidRPr="00937A94">
        <w:rPr>
          <w:sz w:val="22"/>
          <w:szCs w:val="22"/>
        </w:rPr>
        <w:t>étudiant.</w:t>
      </w:r>
      <w:proofErr w:type="gramStart"/>
      <w:r w:rsidRPr="00937A94">
        <w:rPr>
          <w:sz w:val="22"/>
          <w:szCs w:val="22"/>
        </w:rPr>
        <w:t>e.s</w:t>
      </w:r>
      <w:proofErr w:type="spellEnd"/>
      <w:proofErr w:type="gramEnd"/>
      <w:r w:rsidRPr="00937A94">
        <w:rPr>
          <w:sz w:val="22"/>
          <w:szCs w:val="22"/>
        </w:rPr>
        <w:t xml:space="preserve"> sur le spectre de l’autisme est en constante augmentation. </w:t>
      </w:r>
      <w:proofErr w:type="spellStart"/>
      <w:proofErr w:type="gramStart"/>
      <w:r w:rsidRPr="00937A94">
        <w:rPr>
          <w:sz w:val="22"/>
          <w:szCs w:val="22"/>
        </w:rPr>
        <w:t>Situé.e.s</w:t>
      </w:r>
      <w:proofErr w:type="spellEnd"/>
      <w:proofErr w:type="gramEnd"/>
      <w:r w:rsidRPr="00937A94">
        <w:rPr>
          <w:sz w:val="22"/>
          <w:szCs w:val="22"/>
        </w:rPr>
        <w:t xml:space="preserve"> entre besoins spécifiques et haut potentiel académique, </w:t>
      </w:r>
      <w:proofErr w:type="spellStart"/>
      <w:r w:rsidRPr="00937A94">
        <w:rPr>
          <w:sz w:val="22"/>
          <w:szCs w:val="22"/>
        </w:rPr>
        <w:t>ils.elles</w:t>
      </w:r>
      <w:proofErr w:type="spellEnd"/>
      <w:r w:rsidRPr="00937A94">
        <w:rPr>
          <w:sz w:val="22"/>
          <w:szCs w:val="22"/>
        </w:rPr>
        <w:t xml:space="preserve"> ne bénéficient pas toujours d'un soutien adéquat et interrompent leurs études plus prématurément que leurs pairs neurotypiques. Les publications scientifiques s’accordent sur l’idée qu’une plus grande autodétermination dans l'enseignement supérieur conduit à des résultats positifs après l'enseignement supérieur.</w:t>
      </w:r>
    </w:p>
    <w:p w:rsidR="00937A94" w:rsidRPr="00937A94" w:rsidRDefault="00937A94" w:rsidP="00937A94">
      <w:pPr>
        <w:rPr>
          <w:sz w:val="22"/>
          <w:szCs w:val="22"/>
        </w:rPr>
      </w:pPr>
      <w:r w:rsidRPr="00937A94">
        <w:rPr>
          <w:sz w:val="22"/>
          <w:szCs w:val="22"/>
        </w:rPr>
        <w:t>Cette communication permettra de faire un état des lieux des dernières recherches sur la thématique de l’autisme au niveau tertiaire des études. Les premiers résultats d’un programme pilote de soutien basé sur la théorie de l'agent causal, une conceptualisation modernisée de l'autodétermination, seront discutés. Le design de recherche à cas unique choisi pour cette étude, conjointement avec la méthode de l’</w:t>
      </w:r>
      <w:proofErr w:type="spellStart"/>
      <w:r w:rsidRPr="00937A94">
        <w:rPr>
          <w:sz w:val="22"/>
          <w:szCs w:val="22"/>
        </w:rPr>
        <w:t>experience</w:t>
      </w:r>
      <w:proofErr w:type="spellEnd"/>
      <w:r w:rsidRPr="00937A94">
        <w:rPr>
          <w:sz w:val="22"/>
          <w:szCs w:val="22"/>
        </w:rPr>
        <w:t xml:space="preserve"> sampling, permettra de renseigner les effets de l'intervention pour chaque </w:t>
      </w:r>
      <w:proofErr w:type="spellStart"/>
      <w:proofErr w:type="gramStart"/>
      <w:r w:rsidRPr="00937A94">
        <w:rPr>
          <w:sz w:val="22"/>
          <w:szCs w:val="22"/>
        </w:rPr>
        <w:t>participant.e</w:t>
      </w:r>
      <w:proofErr w:type="spellEnd"/>
      <w:proofErr w:type="gramEnd"/>
      <w:r w:rsidRPr="00937A94">
        <w:rPr>
          <w:sz w:val="22"/>
          <w:szCs w:val="22"/>
        </w:rPr>
        <w:t xml:space="preserve"> en contexte réel.</w:t>
      </w:r>
    </w:p>
    <w:p w:rsidR="00937A94" w:rsidRDefault="00937A94" w:rsidP="00937A94">
      <w:pPr>
        <w:rPr>
          <w:sz w:val="22"/>
          <w:szCs w:val="22"/>
        </w:rPr>
      </w:pPr>
    </w:p>
    <w:p w:rsidR="00937A94" w:rsidRPr="00937A94" w:rsidRDefault="00937A94" w:rsidP="00937A94">
      <w:pPr>
        <w:rPr>
          <w:sz w:val="22"/>
          <w:szCs w:val="22"/>
        </w:rPr>
      </w:pPr>
    </w:p>
    <w:p w:rsidR="00C56C44" w:rsidRPr="000E5836" w:rsidRDefault="00C56C44" w:rsidP="00966500">
      <w:pPr>
        <w:rPr>
          <w:sz w:val="22"/>
          <w:szCs w:val="22"/>
        </w:rPr>
      </w:pPr>
    </w:p>
    <w:p w:rsidR="00C56C44" w:rsidRPr="002D544F" w:rsidRDefault="00C56C44" w:rsidP="002D544F">
      <w:pPr>
        <w:pBdr>
          <w:top w:val="single" w:sz="4" w:space="1" w:color="auto"/>
          <w:left w:val="single" w:sz="4" w:space="4" w:color="auto"/>
          <w:bottom w:val="single" w:sz="4" w:space="1" w:color="auto"/>
          <w:right w:val="single" w:sz="4" w:space="4" w:color="auto"/>
        </w:pBdr>
        <w:rPr>
          <w:b/>
          <w:bCs/>
          <w:color w:val="0070C0"/>
        </w:rPr>
      </w:pPr>
      <w:r w:rsidRPr="002D544F">
        <w:rPr>
          <w:b/>
          <w:bCs/>
          <w:color w:val="0070C0"/>
        </w:rPr>
        <w:t xml:space="preserve">Luc </w:t>
      </w:r>
      <w:proofErr w:type="spellStart"/>
      <w:r w:rsidRPr="002D544F">
        <w:rPr>
          <w:b/>
          <w:bCs/>
          <w:color w:val="0070C0"/>
        </w:rPr>
        <w:t>Vandromme</w:t>
      </w:r>
      <w:proofErr w:type="spellEnd"/>
    </w:p>
    <w:p w:rsidR="00937A94" w:rsidRPr="002D544F" w:rsidRDefault="002D544F" w:rsidP="002D544F">
      <w:pPr>
        <w:pBdr>
          <w:top w:val="single" w:sz="4" w:space="1" w:color="auto"/>
          <w:left w:val="single" w:sz="4" w:space="4" w:color="auto"/>
          <w:bottom w:val="single" w:sz="4" w:space="1" w:color="auto"/>
          <w:right w:val="single" w:sz="4" w:space="4" w:color="auto"/>
        </w:pBdr>
        <w:rPr>
          <w:color w:val="0070C0"/>
        </w:rPr>
      </w:pPr>
      <w:r w:rsidRPr="002D544F">
        <w:rPr>
          <w:color w:val="0070C0"/>
        </w:rPr>
        <w:t xml:space="preserve">Intersubjectivité et </w:t>
      </w:r>
      <w:proofErr w:type="spellStart"/>
      <w:r w:rsidRPr="002D544F">
        <w:rPr>
          <w:color w:val="0070C0"/>
        </w:rPr>
        <w:t>trans-formation</w:t>
      </w:r>
      <w:proofErr w:type="spellEnd"/>
      <w:r w:rsidRPr="002D544F">
        <w:rPr>
          <w:color w:val="0070C0"/>
        </w:rPr>
        <w:t> : l’art de croiser les regards</w:t>
      </w:r>
    </w:p>
    <w:p w:rsidR="00937A94" w:rsidRPr="002D544F" w:rsidRDefault="00937A94" w:rsidP="00966500">
      <w:pPr>
        <w:rPr>
          <w:sz w:val="22"/>
          <w:szCs w:val="22"/>
        </w:rPr>
      </w:pPr>
    </w:p>
    <w:p w:rsidR="004F0ADC" w:rsidRDefault="00937A94" w:rsidP="00966500">
      <w:pPr>
        <w:rPr>
          <w:sz w:val="22"/>
          <w:szCs w:val="22"/>
        </w:rPr>
      </w:pPr>
      <w:r w:rsidRPr="002D544F">
        <w:rPr>
          <w:b/>
          <w:bCs/>
          <w:sz w:val="22"/>
          <w:szCs w:val="22"/>
        </w:rPr>
        <w:t>Luc VANDROMME</w:t>
      </w:r>
      <w:r w:rsidR="002D544F">
        <w:rPr>
          <w:b/>
          <w:bCs/>
          <w:sz w:val="22"/>
          <w:szCs w:val="22"/>
        </w:rPr>
        <w:t xml:space="preserve"> </w:t>
      </w:r>
      <w:r w:rsidR="002D544F" w:rsidRPr="002D544F">
        <w:rPr>
          <w:sz w:val="22"/>
          <w:szCs w:val="22"/>
        </w:rPr>
        <w:t>est professeur des universités</w:t>
      </w:r>
      <w:r w:rsidR="004F0ADC">
        <w:rPr>
          <w:sz w:val="22"/>
          <w:szCs w:val="22"/>
        </w:rPr>
        <w:t xml:space="preserve"> émérite</w:t>
      </w:r>
      <w:r w:rsidR="002D544F" w:rsidRPr="002D544F">
        <w:rPr>
          <w:sz w:val="22"/>
          <w:szCs w:val="22"/>
        </w:rPr>
        <w:t xml:space="preserve"> en psychologie</w:t>
      </w:r>
      <w:r w:rsidR="002D544F">
        <w:rPr>
          <w:sz w:val="22"/>
          <w:szCs w:val="22"/>
        </w:rPr>
        <w:t xml:space="preserve"> à l’Université de Picardie</w:t>
      </w:r>
      <w:r w:rsidR="004F0ADC">
        <w:rPr>
          <w:sz w:val="22"/>
          <w:szCs w:val="22"/>
        </w:rPr>
        <w:t xml:space="preserve"> Jules Verne. Ses travaux de recherche ont été nourris par une pratique clinique au CHU d’Amiens, d’abord en pédiatrie puis au sein du centre ressources autisme qu’il a contribué à créer. Il a participé à </w:t>
      </w:r>
      <w:r w:rsidR="004F0ADC">
        <w:rPr>
          <w:sz w:val="22"/>
          <w:szCs w:val="22"/>
        </w:rPr>
        <w:lastRenderedPageBreak/>
        <w:t xml:space="preserve">la mise en place du dispositif du PIA 3 « Atypie </w:t>
      </w:r>
      <w:proofErr w:type="spellStart"/>
      <w:r w:rsidR="004F0ADC">
        <w:rPr>
          <w:sz w:val="22"/>
          <w:szCs w:val="22"/>
        </w:rPr>
        <w:t>Friendly</w:t>
      </w:r>
      <w:proofErr w:type="spellEnd"/>
      <w:r w:rsidR="004F0ADC">
        <w:rPr>
          <w:sz w:val="22"/>
          <w:szCs w:val="22"/>
        </w:rPr>
        <w:t> » destiné à favoriser l’inclusion des personnes autistes et présentant un trouble du neurodéveloppement.</w:t>
      </w:r>
    </w:p>
    <w:p w:rsidR="004F0ADC" w:rsidRDefault="004F0ADC" w:rsidP="00966500">
      <w:pPr>
        <w:rPr>
          <w:sz w:val="22"/>
          <w:szCs w:val="22"/>
        </w:rPr>
      </w:pPr>
    </w:p>
    <w:p w:rsidR="004F0ADC" w:rsidRPr="004F0ADC" w:rsidRDefault="004F0ADC" w:rsidP="00966500">
      <w:pPr>
        <w:rPr>
          <w:b/>
          <w:bCs/>
          <w:sz w:val="22"/>
          <w:szCs w:val="22"/>
        </w:rPr>
      </w:pPr>
      <w:r w:rsidRPr="004F0ADC">
        <w:rPr>
          <w:b/>
          <w:bCs/>
          <w:sz w:val="22"/>
          <w:szCs w:val="22"/>
        </w:rPr>
        <w:t xml:space="preserve">Intersubjectivité et </w:t>
      </w:r>
      <w:proofErr w:type="spellStart"/>
      <w:r w:rsidRPr="004F0ADC">
        <w:rPr>
          <w:b/>
          <w:bCs/>
          <w:sz w:val="22"/>
          <w:szCs w:val="22"/>
        </w:rPr>
        <w:t>trans-formation</w:t>
      </w:r>
      <w:proofErr w:type="spellEnd"/>
      <w:r w:rsidRPr="004F0ADC">
        <w:rPr>
          <w:b/>
          <w:bCs/>
          <w:sz w:val="22"/>
          <w:szCs w:val="22"/>
        </w:rPr>
        <w:t> : l’art de croiser les regards</w:t>
      </w:r>
    </w:p>
    <w:p w:rsidR="004F0ADC" w:rsidRDefault="004F0ADC" w:rsidP="00966500">
      <w:pPr>
        <w:rPr>
          <w:sz w:val="22"/>
          <w:szCs w:val="22"/>
        </w:rPr>
      </w:pPr>
    </w:p>
    <w:p w:rsidR="004F0ADC" w:rsidRDefault="004F0ADC" w:rsidP="00966500">
      <w:pPr>
        <w:rPr>
          <w:sz w:val="22"/>
          <w:szCs w:val="22"/>
        </w:rPr>
      </w:pPr>
    </w:p>
    <w:p w:rsidR="004F0ADC" w:rsidRDefault="004F0ADC" w:rsidP="00966500">
      <w:pPr>
        <w:rPr>
          <w:sz w:val="22"/>
          <w:szCs w:val="22"/>
        </w:rPr>
      </w:pPr>
    </w:p>
    <w:p w:rsidR="004F0ADC" w:rsidRDefault="004F0ADC" w:rsidP="00966500">
      <w:pPr>
        <w:rPr>
          <w:sz w:val="22"/>
          <w:szCs w:val="22"/>
        </w:rPr>
      </w:pPr>
    </w:p>
    <w:p w:rsidR="00C56C44" w:rsidRPr="00142FE2" w:rsidRDefault="00C56C44" w:rsidP="00142FE2">
      <w:pPr>
        <w:pBdr>
          <w:top w:val="single" w:sz="4" w:space="1" w:color="auto"/>
          <w:left w:val="single" w:sz="4" w:space="4" w:color="auto"/>
          <w:bottom w:val="single" w:sz="4" w:space="1" w:color="auto"/>
          <w:right w:val="single" w:sz="4" w:space="4" w:color="auto"/>
        </w:pBdr>
        <w:rPr>
          <w:b/>
          <w:bCs/>
          <w:color w:val="0070C0"/>
          <w:sz w:val="22"/>
          <w:szCs w:val="22"/>
        </w:rPr>
      </w:pPr>
      <w:r w:rsidRPr="00142FE2">
        <w:rPr>
          <w:b/>
          <w:bCs/>
          <w:color w:val="0070C0"/>
          <w:sz w:val="22"/>
          <w:szCs w:val="22"/>
        </w:rPr>
        <w:t xml:space="preserve">Sylviane </w:t>
      </w:r>
      <w:proofErr w:type="spellStart"/>
      <w:r w:rsidRPr="00142FE2">
        <w:rPr>
          <w:b/>
          <w:bCs/>
          <w:color w:val="0070C0"/>
          <w:sz w:val="22"/>
          <w:szCs w:val="22"/>
        </w:rPr>
        <w:t>Rabetsarazaka</w:t>
      </w:r>
      <w:proofErr w:type="spellEnd"/>
    </w:p>
    <w:p w:rsidR="00142FE2" w:rsidRPr="00142FE2" w:rsidRDefault="00142FE2" w:rsidP="00142FE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color w:val="0070C0"/>
          <w:sz w:val="22"/>
          <w:szCs w:val="22"/>
        </w:rPr>
      </w:pPr>
      <w:r w:rsidRPr="00142FE2">
        <w:rPr>
          <w:color w:val="0070C0"/>
          <w:sz w:val="22"/>
          <w:szCs w:val="22"/>
        </w:rPr>
        <w:t xml:space="preserve">De la rupture à l’excellence : la déscolarisation comme épreuve et le Doctorat comme horizon capacitant </w:t>
      </w:r>
    </w:p>
    <w:p w:rsidR="004F0ADC" w:rsidRPr="004F0ADC" w:rsidRDefault="004F0ADC" w:rsidP="00966500">
      <w:pPr>
        <w:rPr>
          <w:b/>
          <w:bCs/>
          <w:sz w:val="22"/>
          <w:szCs w:val="22"/>
        </w:rPr>
      </w:pPr>
    </w:p>
    <w:p w:rsidR="00142FE2" w:rsidRPr="00142FE2" w:rsidRDefault="004F0ADC" w:rsidP="00966500">
      <w:pPr>
        <w:rPr>
          <w:b/>
          <w:bCs/>
          <w:sz w:val="22"/>
          <w:szCs w:val="22"/>
        </w:rPr>
      </w:pPr>
      <w:r w:rsidRPr="00142FE2">
        <w:rPr>
          <w:b/>
          <w:bCs/>
          <w:sz w:val="22"/>
          <w:szCs w:val="22"/>
        </w:rPr>
        <w:t>Sylviane RABETSARAZAKA</w:t>
      </w:r>
      <w:r w:rsidR="00142FE2" w:rsidRPr="00142FE2">
        <w:rPr>
          <w:b/>
          <w:bCs/>
          <w:sz w:val="22"/>
          <w:szCs w:val="22"/>
        </w:rPr>
        <w:t xml:space="preserve"> </w:t>
      </w:r>
      <w:r w:rsidR="00142FE2" w:rsidRPr="00142FE2">
        <w:rPr>
          <w:sz w:val="22"/>
          <w:szCs w:val="22"/>
        </w:rPr>
        <w:t xml:space="preserve">est </w:t>
      </w:r>
      <w:r w:rsidR="00142FE2" w:rsidRPr="00142FE2">
        <w:rPr>
          <w:rFonts w:eastAsia="Times New Roman" w:cs="Arial"/>
          <w:color w:val="222222"/>
          <w:kern w:val="0"/>
          <w:sz w:val="22"/>
          <w:szCs w:val="22"/>
          <w14:ligatures w14:val="none"/>
        </w:rPr>
        <w:t xml:space="preserve">doctorante </w:t>
      </w:r>
      <w:r w:rsidR="00142FE2" w:rsidRPr="00142FE2">
        <w:rPr>
          <w:rFonts w:eastAsia="Times New Roman" w:cs="Arial"/>
          <w:color w:val="222222"/>
          <w:kern w:val="0"/>
          <w:sz w:val="22"/>
          <w:szCs w:val="22"/>
          <w14:ligatures w14:val="none"/>
        </w:rPr>
        <w:t xml:space="preserve">contractuelle </w:t>
      </w:r>
      <w:r w:rsidR="00142FE2" w:rsidRPr="00142FE2">
        <w:rPr>
          <w:rFonts w:eastAsia="Times New Roman" w:cs="Arial"/>
          <w:color w:val="222222"/>
          <w:kern w:val="0"/>
          <w:sz w:val="22"/>
          <w:szCs w:val="22"/>
          <w14:ligatures w14:val="none"/>
        </w:rPr>
        <w:t xml:space="preserve">en lettres modernes </w:t>
      </w:r>
      <w:r w:rsidR="00142FE2" w:rsidRPr="00142FE2">
        <w:rPr>
          <w:rFonts w:eastAsia="Times New Roman" w:cs="Arial"/>
          <w:color w:val="222222"/>
          <w:kern w:val="0"/>
          <w:sz w:val="22"/>
          <w:szCs w:val="22"/>
          <w14:ligatures w14:val="none"/>
        </w:rPr>
        <w:t xml:space="preserve">à l’université de La Réunion depuis octobre 2022 et </w:t>
      </w:r>
      <w:r w:rsidR="00142FE2" w:rsidRPr="00142FE2">
        <w:rPr>
          <w:rFonts w:eastAsia="Times New Roman" w:cs="Arial"/>
          <w:color w:val="222222"/>
          <w:kern w:val="0"/>
          <w:sz w:val="22"/>
          <w:szCs w:val="22"/>
          <w14:ligatures w14:val="none"/>
        </w:rPr>
        <w:t>prépar</w:t>
      </w:r>
      <w:r w:rsidR="00142FE2" w:rsidRPr="00142FE2">
        <w:rPr>
          <w:rFonts w:eastAsia="Times New Roman" w:cs="Arial"/>
          <w:color w:val="222222"/>
          <w:kern w:val="0"/>
          <w:sz w:val="22"/>
          <w:szCs w:val="22"/>
          <w14:ligatures w14:val="none"/>
        </w:rPr>
        <w:t>e</w:t>
      </w:r>
      <w:r w:rsidR="00142FE2" w:rsidRPr="00142FE2">
        <w:rPr>
          <w:rFonts w:eastAsia="Times New Roman" w:cs="Arial"/>
          <w:color w:val="222222"/>
          <w:kern w:val="0"/>
          <w:sz w:val="22"/>
          <w:szCs w:val="22"/>
          <w14:ligatures w14:val="none"/>
        </w:rPr>
        <w:t xml:space="preserve"> une thèse sur Antonin Artaud, la folie et la création </w:t>
      </w:r>
      <w:r w:rsidR="00142FE2" w:rsidRPr="00142FE2">
        <w:rPr>
          <w:rFonts w:eastAsia="Times New Roman" w:cs="Arial"/>
          <w:color w:val="222222"/>
          <w:kern w:val="0"/>
          <w:sz w:val="22"/>
          <w:szCs w:val="22"/>
          <w14:ligatures w14:val="none"/>
        </w:rPr>
        <w:t xml:space="preserve">sous la direction de Françoise </w:t>
      </w:r>
      <w:proofErr w:type="spellStart"/>
      <w:r w:rsidR="00142FE2" w:rsidRPr="00142FE2">
        <w:rPr>
          <w:rFonts w:eastAsia="Times New Roman" w:cs="Arial"/>
          <w:color w:val="222222"/>
          <w:kern w:val="0"/>
          <w:sz w:val="22"/>
          <w:szCs w:val="22"/>
          <w14:ligatures w14:val="none"/>
        </w:rPr>
        <w:t>Sylvos</w:t>
      </w:r>
      <w:proofErr w:type="spellEnd"/>
      <w:r w:rsidR="00142FE2" w:rsidRPr="00142FE2">
        <w:rPr>
          <w:rFonts w:eastAsia="Times New Roman" w:cs="Arial"/>
          <w:color w:val="222222"/>
          <w:kern w:val="0"/>
          <w:sz w:val="22"/>
          <w:szCs w:val="22"/>
          <w14:ligatures w14:val="none"/>
        </w:rPr>
        <w:t xml:space="preserve"> </w:t>
      </w:r>
      <w:r w:rsidR="00142FE2" w:rsidRPr="00142FE2">
        <w:rPr>
          <w:rFonts w:eastAsia="Times New Roman" w:cs="Arial"/>
          <w:color w:val="222222"/>
          <w:kern w:val="0"/>
          <w:sz w:val="22"/>
          <w:szCs w:val="22"/>
          <w14:ligatures w14:val="none"/>
        </w:rPr>
        <w:t>depuis octobre 2022.</w:t>
      </w:r>
      <w:r w:rsidR="00142FE2" w:rsidRPr="00142FE2">
        <w:rPr>
          <w:b/>
          <w:bCs/>
          <w:sz w:val="22"/>
          <w:szCs w:val="22"/>
        </w:rPr>
        <w:t xml:space="preserve"> </w:t>
      </w:r>
      <w:r w:rsidR="00142FE2" w:rsidRPr="00142FE2">
        <w:rPr>
          <w:rFonts w:eastAsia="Times New Roman" w:cs="Arial"/>
          <w:color w:val="222222"/>
          <w:kern w:val="0"/>
          <w:sz w:val="22"/>
          <w:szCs w:val="22"/>
          <w14:ligatures w14:val="none"/>
        </w:rPr>
        <w:t>Elle est également a</w:t>
      </w:r>
      <w:r w:rsidR="00142FE2" w:rsidRPr="00142FE2">
        <w:rPr>
          <w:rFonts w:eastAsia="Times New Roman" w:cs="Arial"/>
          <w:color w:val="222222"/>
          <w:kern w:val="0"/>
          <w:sz w:val="22"/>
          <w:szCs w:val="22"/>
          <w14:ligatures w14:val="none"/>
        </w:rPr>
        <w:t xml:space="preserve">uteur de romans chez </w:t>
      </w:r>
      <w:proofErr w:type="spellStart"/>
      <w:r w:rsidR="00142FE2" w:rsidRPr="00142FE2">
        <w:rPr>
          <w:rFonts w:eastAsia="Times New Roman" w:cs="Arial"/>
          <w:color w:val="222222"/>
          <w:kern w:val="0"/>
          <w:sz w:val="22"/>
          <w:szCs w:val="22"/>
          <w14:ligatures w14:val="none"/>
        </w:rPr>
        <w:t>L’Harmattan</w:t>
      </w:r>
      <w:proofErr w:type="spellEnd"/>
      <w:r w:rsidR="00142FE2" w:rsidRPr="00142FE2">
        <w:rPr>
          <w:rFonts w:eastAsia="Times New Roman" w:cs="Arial"/>
          <w:color w:val="222222"/>
          <w:kern w:val="0"/>
          <w:sz w:val="22"/>
          <w:szCs w:val="22"/>
          <w14:ligatures w14:val="none"/>
        </w:rPr>
        <w:t xml:space="preserve"> et d’un recueil de poésie aux Éditions Les Bonnes feuilles.</w:t>
      </w:r>
    </w:p>
    <w:p w:rsidR="00142FE2" w:rsidRPr="00142FE2" w:rsidRDefault="00142FE2" w:rsidP="00142FE2">
      <w:pPr>
        <w:pStyle w:val="NormalWeb"/>
        <w:shd w:val="clear" w:color="auto" w:fill="FFFFFF"/>
        <w:rPr>
          <w:color w:val="000000" w:themeColor="text1"/>
          <w:sz w:val="22"/>
          <w:szCs w:val="22"/>
        </w:rPr>
      </w:pPr>
      <w:r w:rsidRPr="00142FE2">
        <w:rPr>
          <w:b/>
          <w:bCs/>
          <w:color w:val="000000" w:themeColor="text1"/>
          <w:sz w:val="22"/>
          <w:szCs w:val="22"/>
        </w:rPr>
        <w:t>De la rupture à l’excellence : la d</w:t>
      </w:r>
      <w:r w:rsidRPr="00142FE2">
        <w:rPr>
          <w:b/>
          <w:bCs/>
          <w:color w:val="000000" w:themeColor="text1"/>
          <w:sz w:val="22"/>
          <w:szCs w:val="22"/>
        </w:rPr>
        <w:t>é</w:t>
      </w:r>
      <w:r w:rsidRPr="00142FE2">
        <w:rPr>
          <w:b/>
          <w:bCs/>
          <w:color w:val="000000" w:themeColor="text1"/>
          <w:sz w:val="22"/>
          <w:szCs w:val="22"/>
        </w:rPr>
        <w:t xml:space="preserve">scolarisation comme </w:t>
      </w:r>
      <w:r w:rsidRPr="00142FE2">
        <w:rPr>
          <w:b/>
          <w:bCs/>
          <w:color w:val="000000" w:themeColor="text1"/>
          <w:sz w:val="22"/>
          <w:szCs w:val="22"/>
        </w:rPr>
        <w:t>é</w:t>
      </w:r>
      <w:r w:rsidRPr="00142FE2">
        <w:rPr>
          <w:b/>
          <w:bCs/>
          <w:color w:val="000000" w:themeColor="text1"/>
          <w:sz w:val="22"/>
          <w:szCs w:val="22"/>
        </w:rPr>
        <w:t xml:space="preserve">preuve et le Doctorat comme horizon capacitant </w:t>
      </w:r>
    </w:p>
    <w:p w:rsidR="004F0ADC" w:rsidRPr="004F0ADC" w:rsidRDefault="004F0ADC" w:rsidP="004F0ADC">
      <w:pPr>
        <w:pStyle w:val="NormalWeb"/>
        <w:shd w:val="clear" w:color="auto" w:fill="FFFFFF"/>
        <w:rPr>
          <w:color w:val="000000" w:themeColor="text1"/>
          <w:sz w:val="22"/>
          <w:szCs w:val="22"/>
        </w:rPr>
      </w:pPr>
      <w:r w:rsidRPr="004F0ADC">
        <w:rPr>
          <w:color w:val="000000" w:themeColor="text1"/>
          <w:sz w:val="22"/>
          <w:szCs w:val="22"/>
        </w:rPr>
        <w:t>L’acc</w:t>
      </w:r>
      <w:r w:rsidRPr="004F0ADC">
        <w:rPr>
          <w:color w:val="000000" w:themeColor="text1"/>
          <w:sz w:val="22"/>
          <w:szCs w:val="22"/>
        </w:rPr>
        <w:t>è</w:t>
      </w:r>
      <w:r w:rsidRPr="004F0ADC">
        <w:rPr>
          <w:color w:val="000000" w:themeColor="text1"/>
          <w:sz w:val="22"/>
          <w:szCs w:val="22"/>
        </w:rPr>
        <w:t>s à l’enseignement sup</w:t>
      </w:r>
      <w:r w:rsidRPr="004F0ADC">
        <w:rPr>
          <w:color w:val="000000" w:themeColor="text1"/>
          <w:sz w:val="22"/>
          <w:szCs w:val="22"/>
        </w:rPr>
        <w:t>é</w:t>
      </w:r>
      <w:r w:rsidRPr="004F0ADC">
        <w:rPr>
          <w:color w:val="000000" w:themeColor="text1"/>
          <w:sz w:val="22"/>
          <w:szCs w:val="22"/>
        </w:rPr>
        <w:t xml:space="preserve">rieur peut </w:t>
      </w:r>
      <w:r w:rsidRPr="004F0ADC">
        <w:rPr>
          <w:color w:val="000000" w:themeColor="text1"/>
          <w:sz w:val="22"/>
          <w:szCs w:val="22"/>
        </w:rPr>
        <w:t>ê</w:t>
      </w:r>
      <w:r w:rsidRPr="004F0ADC">
        <w:rPr>
          <w:color w:val="000000" w:themeColor="text1"/>
          <w:sz w:val="22"/>
          <w:szCs w:val="22"/>
        </w:rPr>
        <w:t>tre per</w:t>
      </w:r>
      <w:r w:rsidRPr="004F0ADC">
        <w:rPr>
          <w:color w:val="000000" w:themeColor="text1"/>
          <w:sz w:val="22"/>
          <w:szCs w:val="22"/>
        </w:rPr>
        <w:t>çu</w:t>
      </w:r>
      <w:r w:rsidRPr="004F0ADC">
        <w:rPr>
          <w:color w:val="000000" w:themeColor="text1"/>
          <w:sz w:val="22"/>
          <w:szCs w:val="22"/>
        </w:rPr>
        <w:t xml:space="preserve"> comme un </w:t>
      </w:r>
      <w:r w:rsidRPr="004F0ADC">
        <w:rPr>
          <w:i/>
          <w:iCs/>
          <w:color w:val="000000" w:themeColor="text1"/>
          <w:sz w:val="22"/>
          <w:szCs w:val="22"/>
        </w:rPr>
        <w:t xml:space="preserve">continuum </w:t>
      </w:r>
      <w:r w:rsidRPr="004F0ADC">
        <w:rPr>
          <w:color w:val="000000" w:themeColor="text1"/>
          <w:sz w:val="22"/>
          <w:szCs w:val="22"/>
        </w:rPr>
        <w:t>lin</w:t>
      </w:r>
      <w:r w:rsidRPr="004F0ADC">
        <w:rPr>
          <w:color w:val="000000" w:themeColor="text1"/>
          <w:sz w:val="22"/>
          <w:szCs w:val="22"/>
        </w:rPr>
        <w:t>é</w:t>
      </w:r>
      <w:r w:rsidRPr="004F0ADC">
        <w:rPr>
          <w:color w:val="000000" w:themeColor="text1"/>
          <w:sz w:val="22"/>
          <w:szCs w:val="22"/>
        </w:rPr>
        <w:t>aire. Pourtant, certains parcours d’</w:t>
      </w:r>
      <w:r w:rsidRPr="004F0ADC">
        <w:rPr>
          <w:color w:val="000000" w:themeColor="text1"/>
          <w:sz w:val="22"/>
          <w:szCs w:val="22"/>
        </w:rPr>
        <w:t>é</w:t>
      </w:r>
      <w:r w:rsidRPr="004F0ADC">
        <w:rPr>
          <w:color w:val="000000" w:themeColor="text1"/>
          <w:sz w:val="22"/>
          <w:szCs w:val="22"/>
        </w:rPr>
        <w:t>tudiants sont marqu</w:t>
      </w:r>
      <w:r w:rsidRPr="004F0ADC">
        <w:rPr>
          <w:color w:val="000000" w:themeColor="text1"/>
          <w:sz w:val="22"/>
          <w:szCs w:val="22"/>
        </w:rPr>
        <w:t>é</w:t>
      </w:r>
      <w:r w:rsidRPr="004F0ADC">
        <w:rPr>
          <w:color w:val="000000" w:themeColor="text1"/>
          <w:sz w:val="22"/>
          <w:szCs w:val="22"/>
        </w:rPr>
        <w:t>s par des ruptures brutales. Notre communication s’appuie sur une trajectoire singuli</w:t>
      </w:r>
      <w:r w:rsidRPr="004F0ADC">
        <w:rPr>
          <w:color w:val="000000" w:themeColor="text1"/>
          <w:sz w:val="22"/>
          <w:szCs w:val="22"/>
        </w:rPr>
        <w:t>è</w:t>
      </w:r>
      <w:r w:rsidRPr="004F0ADC">
        <w:rPr>
          <w:color w:val="000000" w:themeColor="text1"/>
          <w:sz w:val="22"/>
          <w:szCs w:val="22"/>
        </w:rPr>
        <w:t>re : une d</w:t>
      </w:r>
      <w:r w:rsidRPr="004F0ADC">
        <w:rPr>
          <w:color w:val="000000" w:themeColor="text1"/>
          <w:sz w:val="22"/>
          <w:szCs w:val="22"/>
        </w:rPr>
        <w:t>é</w:t>
      </w:r>
      <w:r w:rsidRPr="004F0ADC">
        <w:rPr>
          <w:color w:val="000000" w:themeColor="text1"/>
          <w:sz w:val="22"/>
          <w:szCs w:val="22"/>
        </w:rPr>
        <w:t>scolarisation totale l’ann</w:t>
      </w:r>
      <w:r w:rsidRPr="004F0ADC">
        <w:rPr>
          <w:color w:val="000000" w:themeColor="text1"/>
          <w:sz w:val="22"/>
          <w:szCs w:val="22"/>
        </w:rPr>
        <w:t>é</w:t>
      </w:r>
      <w:r w:rsidRPr="004F0ADC">
        <w:rPr>
          <w:color w:val="000000" w:themeColor="text1"/>
          <w:sz w:val="22"/>
          <w:szCs w:val="22"/>
        </w:rPr>
        <w:t>e du baccalaur</w:t>
      </w:r>
      <w:r w:rsidRPr="004F0ADC">
        <w:rPr>
          <w:color w:val="000000" w:themeColor="text1"/>
          <w:sz w:val="22"/>
          <w:szCs w:val="22"/>
        </w:rPr>
        <w:t>é</w:t>
      </w:r>
      <w:r w:rsidRPr="004F0ADC">
        <w:rPr>
          <w:color w:val="000000" w:themeColor="text1"/>
          <w:sz w:val="22"/>
          <w:szCs w:val="22"/>
        </w:rPr>
        <w:t>at tandis que l’</w:t>
      </w:r>
      <w:r w:rsidRPr="004F0ADC">
        <w:rPr>
          <w:color w:val="000000" w:themeColor="text1"/>
          <w:sz w:val="22"/>
          <w:szCs w:val="22"/>
        </w:rPr>
        <w:t>é</w:t>
      </w:r>
      <w:r w:rsidRPr="004F0ADC">
        <w:rPr>
          <w:color w:val="000000" w:themeColor="text1"/>
          <w:sz w:val="22"/>
          <w:szCs w:val="22"/>
        </w:rPr>
        <w:t>l</w:t>
      </w:r>
      <w:r w:rsidRPr="004F0ADC">
        <w:rPr>
          <w:color w:val="000000" w:themeColor="text1"/>
          <w:sz w:val="22"/>
          <w:szCs w:val="22"/>
        </w:rPr>
        <w:t>è</w:t>
      </w:r>
      <w:r w:rsidRPr="004F0ADC">
        <w:rPr>
          <w:color w:val="000000" w:themeColor="text1"/>
          <w:sz w:val="22"/>
          <w:szCs w:val="22"/>
        </w:rPr>
        <w:t>ve est mineure, suivie d’une reprise d’</w:t>
      </w:r>
      <w:r w:rsidRPr="004F0ADC">
        <w:rPr>
          <w:color w:val="000000" w:themeColor="text1"/>
          <w:sz w:val="22"/>
          <w:szCs w:val="22"/>
        </w:rPr>
        <w:t>é</w:t>
      </w:r>
      <w:r w:rsidRPr="004F0ADC">
        <w:rPr>
          <w:color w:val="000000" w:themeColor="text1"/>
          <w:sz w:val="22"/>
          <w:szCs w:val="22"/>
        </w:rPr>
        <w:t>tudes aiguill</w:t>
      </w:r>
      <w:r w:rsidRPr="004F0ADC">
        <w:rPr>
          <w:color w:val="000000" w:themeColor="text1"/>
          <w:sz w:val="22"/>
          <w:szCs w:val="22"/>
        </w:rPr>
        <w:t>é</w:t>
      </w:r>
      <w:r w:rsidRPr="004F0ADC">
        <w:rPr>
          <w:color w:val="000000" w:themeColor="text1"/>
          <w:sz w:val="22"/>
          <w:szCs w:val="22"/>
        </w:rPr>
        <w:t>e par un membre isolé du corps enseignant, menant jusqu’au Doctorat, dans un contexte de trouble schizo-affectif.</w:t>
      </w:r>
      <w:r w:rsidRPr="004F0ADC">
        <w:rPr>
          <w:color w:val="000000" w:themeColor="text1"/>
          <w:sz w:val="22"/>
          <w:szCs w:val="22"/>
        </w:rPr>
        <w:br/>
        <w:t>Nous y analysons d’abord l’acc</w:t>
      </w:r>
      <w:r w:rsidRPr="004F0ADC">
        <w:rPr>
          <w:color w:val="000000" w:themeColor="text1"/>
          <w:sz w:val="22"/>
          <w:szCs w:val="22"/>
        </w:rPr>
        <w:t>è</w:t>
      </w:r>
      <w:r w:rsidRPr="004F0ADC">
        <w:rPr>
          <w:color w:val="000000" w:themeColor="text1"/>
          <w:sz w:val="22"/>
          <w:szCs w:val="22"/>
        </w:rPr>
        <w:t xml:space="preserve">s aux </w:t>
      </w:r>
      <w:r w:rsidRPr="004F0ADC">
        <w:rPr>
          <w:color w:val="000000" w:themeColor="text1"/>
          <w:sz w:val="22"/>
          <w:szCs w:val="22"/>
        </w:rPr>
        <w:t>é</w:t>
      </w:r>
      <w:r w:rsidRPr="004F0ADC">
        <w:rPr>
          <w:color w:val="000000" w:themeColor="text1"/>
          <w:sz w:val="22"/>
          <w:szCs w:val="22"/>
        </w:rPr>
        <w:t>tudes sup</w:t>
      </w:r>
      <w:r w:rsidRPr="004F0ADC">
        <w:rPr>
          <w:color w:val="000000" w:themeColor="text1"/>
          <w:sz w:val="22"/>
          <w:szCs w:val="22"/>
        </w:rPr>
        <w:t>é</w:t>
      </w:r>
      <w:r w:rsidRPr="004F0ADC">
        <w:rPr>
          <w:color w:val="000000" w:themeColor="text1"/>
          <w:sz w:val="22"/>
          <w:szCs w:val="22"/>
        </w:rPr>
        <w:t>rieures sous l’angle de la « sortie de route ». La d</w:t>
      </w:r>
      <w:r w:rsidRPr="004F0ADC">
        <w:rPr>
          <w:color w:val="000000" w:themeColor="text1"/>
          <w:sz w:val="22"/>
          <w:szCs w:val="22"/>
        </w:rPr>
        <w:t>é</w:t>
      </w:r>
      <w:r w:rsidRPr="004F0ADC">
        <w:rPr>
          <w:color w:val="000000" w:themeColor="text1"/>
          <w:sz w:val="22"/>
          <w:szCs w:val="22"/>
        </w:rPr>
        <w:t xml:space="preserve">scolarisation face </w:t>
      </w:r>
      <w:proofErr w:type="spellStart"/>
      <w:r w:rsidRPr="004F0ADC">
        <w:rPr>
          <w:color w:val="000000" w:themeColor="text1"/>
          <w:sz w:val="22"/>
          <w:szCs w:val="22"/>
        </w:rPr>
        <w:t>a</w:t>
      </w:r>
      <w:proofErr w:type="spellEnd"/>
      <w:r w:rsidRPr="004F0ADC">
        <w:rPr>
          <w:color w:val="000000" w:themeColor="text1"/>
          <w:sz w:val="22"/>
          <w:szCs w:val="22"/>
        </w:rPr>
        <w:t>̀ l’</w:t>
      </w:r>
      <w:r w:rsidRPr="004F0ADC">
        <w:rPr>
          <w:color w:val="000000" w:themeColor="text1"/>
          <w:sz w:val="22"/>
          <w:szCs w:val="22"/>
        </w:rPr>
        <w:t>é</w:t>
      </w:r>
      <w:r w:rsidRPr="004F0ADC">
        <w:rPr>
          <w:color w:val="000000" w:themeColor="text1"/>
          <w:sz w:val="22"/>
          <w:szCs w:val="22"/>
        </w:rPr>
        <w:t>mergence de troubles psychiques interroge en effet les capacit</w:t>
      </w:r>
      <w:r w:rsidRPr="004F0ADC">
        <w:rPr>
          <w:color w:val="000000" w:themeColor="text1"/>
          <w:sz w:val="22"/>
          <w:szCs w:val="22"/>
        </w:rPr>
        <w:t>é</w:t>
      </w:r>
      <w:r w:rsidRPr="004F0ADC">
        <w:rPr>
          <w:color w:val="000000" w:themeColor="text1"/>
          <w:sz w:val="22"/>
          <w:szCs w:val="22"/>
        </w:rPr>
        <w:t>s d’accueil de l’institution. Nous montrons ensuite en quoi les stigmates et interruptions de parcours se con</w:t>
      </w:r>
      <w:r w:rsidRPr="004F0ADC">
        <w:rPr>
          <w:color w:val="000000" w:themeColor="text1"/>
          <w:sz w:val="22"/>
          <w:szCs w:val="22"/>
        </w:rPr>
        <w:t>ç</w:t>
      </w:r>
      <w:r w:rsidRPr="004F0ADC">
        <w:rPr>
          <w:color w:val="000000" w:themeColor="text1"/>
          <w:sz w:val="22"/>
          <w:szCs w:val="22"/>
        </w:rPr>
        <w:t>oivent souvent comme des points de non-retour, alors qu’ils constituent potentiellement le</w:t>
      </w:r>
      <w:r w:rsidRPr="004F0ADC">
        <w:rPr>
          <w:color w:val="000000" w:themeColor="text1"/>
        </w:rPr>
        <w:t xml:space="preserve"> </w:t>
      </w:r>
      <w:r w:rsidRPr="004F0ADC">
        <w:rPr>
          <w:color w:val="000000" w:themeColor="text1"/>
          <w:sz w:val="22"/>
          <w:szCs w:val="22"/>
        </w:rPr>
        <w:t>point de d</w:t>
      </w:r>
      <w:r w:rsidRPr="004F0ADC">
        <w:rPr>
          <w:color w:val="000000" w:themeColor="text1"/>
          <w:sz w:val="22"/>
          <w:szCs w:val="22"/>
        </w:rPr>
        <w:t>é</w:t>
      </w:r>
      <w:r w:rsidRPr="004F0ADC">
        <w:rPr>
          <w:color w:val="000000" w:themeColor="text1"/>
          <w:sz w:val="22"/>
          <w:szCs w:val="22"/>
        </w:rPr>
        <w:t xml:space="preserve">part d’une </w:t>
      </w:r>
      <w:r w:rsidRPr="004F0ADC">
        <w:rPr>
          <w:color w:val="000000" w:themeColor="text1"/>
          <w:sz w:val="22"/>
          <w:szCs w:val="22"/>
        </w:rPr>
        <w:t>ét</w:t>
      </w:r>
      <w:r w:rsidRPr="004F0ADC">
        <w:rPr>
          <w:color w:val="000000" w:themeColor="text1"/>
          <w:sz w:val="22"/>
          <w:szCs w:val="22"/>
        </w:rPr>
        <w:t>hique de l’hospitalit</w:t>
      </w:r>
      <w:r w:rsidRPr="004F0ADC">
        <w:rPr>
          <w:color w:val="000000" w:themeColor="text1"/>
          <w:sz w:val="22"/>
          <w:szCs w:val="22"/>
        </w:rPr>
        <w:t>é</w:t>
      </w:r>
      <w:r w:rsidRPr="004F0ADC">
        <w:rPr>
          <w:color w:val="000000" w:themeColor="text1"/>
          <w:sz w:val="22"/>
          <w:szCs w:val="22"/>
        </w:rPr>
        <w:t>.</w:t>
      </w:r>
    </w:p>
    <w:p w:rsidR="004F0ADC" w:rsidRPr="004F0ADC" w:rsidRDefault="004F0ADC" w:rsidP="004F0ADC">
      <w:pPr>
        <w:pStyle w:val="NormalWeb"/>
        <w:shd w:val="clear" w:color="auto" w:fill="FFFFFF"/>
        <w:rPr>
          <w:color w:val="000000" w:themeColor="text1"/>
          <w:sz w:val="22"/>
          <w:szCs w:val="22"/>
        </w:rPr>
      </w:pPr>
      <w:r w:rsidRPr="004F0ADC">
        <w:rPr>
          <w:color w:val="000000" w:themeColor="text1"/>
          <w:sz w:val="22"/>
          <w:szCs w:val="22"/>
        </w:rPr>
        <w:t>Nous explorons alors comment l’enseignement sup</w:t>
      </w:r>
      <w:r w:rsidR="00142FE2">
        <w:rPr>
          <w:color w:val="000000" w:themeColor="text1"/>
          <w:sz w:val="22"/>
          <w:szCs w:val="22"/>
        </w:rPr>
        <w:t>é</w:t>
      </w:r>
      <w:r w:rsidRPr="004F0ADC">
        <w:rPr>
          <w:color w:val="000000" w:themeColor="text1"/>
          <w:sz w:val="22"/>
          <w:szCs w:val="22"/>
        </w:rPr>
        <w:t>rieur peut devenir un environnement capacitant. Le passage de la rupture à l’excellence doctorale d</w:t>
      </w:r>
      <w:r w:rsidR="00142FE2">
        <w:rPr>
          <w:color w:val="000000" w:themeColor="text1"/>
          <w:sz w:val="22"/>
          <w:szCs w:val="22"/>
        </w:rPr>
        <w:t>é</w:t>
      </w:r>
      <w:r w:rsidRPr="004F0ADC">
        <w:rPr>
          <w:color w:val="000000" w:themeColor="text1"/>
          <w:sz w:val="22"/>
          <w:szCs w:val="22"/>
        </w:rPr>
        <w:t>montre que la r</w:t>
      </w:r>
      <w:r w:rsidR="00142FE2">
        <w:rPr>
          <w:color w:val="000000" w:themeColor="text1"/>
          <w:sz w:val="22"/>
          <w:szCs w:val="22"/>
        </w:rPr>
        <w:t>é</w:t>
      </w:r>
      <w:r w:rsidRPr="004F0ADC">
        <w:rPr>
          <w:color w:val="000000" w:themeColor="text1"/>
          <w:sz w:val="22"/>
          <w:szCs w:val="22"/>
        </w:rPr>
        <w:t>ussite est possible si l’universi</w:t>
      </w:r>
      <w:r w:rsidR="00142FE2">
        <w:rPr>
          <w:color w:val="000000" w:themeColor="text1"/>
          <w:sz w:val="22"/>
          <w:szCs w:val="22"/>
        </w:rPr>
        <w:t>té</w:t>
      </w:r>
      <w:r w:rsidRPr="004F0ADC">
        <w:rPr>
          <w:color w:val="000000" w:themeColor="text1"/>
          <w:sz w:val="22"/>
          <w:szCs w:val="22"/>
        </w:rPr>
        <w:t xml:space="preserve"> offre des marges de manœuvre (flexibilit</w:t>
      </w:r>
      <w:r w:rsidR="00142FE2">
        <w:rPr>
          <w:color w:val="000000" w:themeColor="text1"/>
          <w:sz w:val="22"/>
          <w:szCs w:val="22"/>
        </w:rPr>
        <w:t>é</w:t>
      </w:r>
      <w:r w:rsidRPr="004F0ADC">
        <w:rPr>
          <w:color w:val="000000" w:themeColor="text1"/>
          <w:sz w:val="22"/>
          <w:szCs w:val="22"/>
        </w:rPr>
        <w:t>, reconnaissance de l’</w:t>
      </w:r>
      <w:proofErr w:type="spellStart"/>
      <w:r w:rsidRPr="004F0ADC">
        <w:rPr>
          <w:color w:val="000000" w:themeColor="text1"/>
          <w:sz w:val="22"/>
          <w:szCs w:val="22"/>
        </w:rPr>
        <w:t>autosan</w:t>
      </w:r>
      <w:r w:rsidR="00142FE2">
        <w:rPr>
          <w:color w:val="000000" w:themeColor="text1"/>
          <w:sz w:val="22"/>
          <w:szCs w:val="22"/>
        </w:rPr>
        <w:t>té</w:t>
      </w:r>
      <w:proofErr w:type="spellEnd"/>
      <w:r w:rsidRPr="004F0ADC">
        <w:rPr>
          <w:color w:val="000000" w:themeColor="text1"/>
          <w:sz w:val="22"/>
          <w:szCs w:val="22"/>
        </w:rPr>
        <w:t>).</w:t>
      </w:r>
      <w:r w:rsidRPr="004F0ADC">
        <w:rPr>
          <w:color w:val="000000" w:themeColor="text1"/>
          <w:sz w:val="22"/>
          <w:szCs w:val="22"/>
        </w:rPr>
        <w:br/>
        <w:t>Nous soutenons que l’inclusion r</w:t>
      </w:r>
      <w:r w:rsidR="00142FE2">
        <w:rPr>
          <w:color w:val="000000" w:themeColor="text1"/>
          <w:sz w:val="22"/>
          <w:szCs w:val="22"/>
        </w:rPr>
        <w:t>é</w:t>
      </w:r>
      <w:r w:rsidRPr="004F0ADC">
        <w:rPr>
          <w:color w:val="000000" w:themeColor="text1"/>
          <w:sz w:val="22"/>
          <w:szCs w:val="22"/>
        </w:rPr>
        <w:t xml:space="preserve">elle consiste </w:t>
      </w:r>
      <w:proofErr w:type="spellStart"/>
      <w:r w:rsidRPr="004F0ADC">
        <w:rPr>
          <w:color w:val="000000" w:themeColor="text1"/>
          <w:sz w:val="22"/>
          <w:szCs w:val="22"/>
        </w:rPr>
        <w:t>a</w:t>
      </w:r>
      <w:proofErr w:type="spellEnd"/>
      <w:r w:rsidRPr="004F0ADC">
        <w:rPr>
          <w:color w:val="000000" w:themeColor="text1"/>
          <w:sz w:val="22"/>
          <w:szCs w:val="22"/>
        </w:rPr>
        <w:t>̀ transformer l’institution afin qu’elle permette de convertir l’exp</w:t>
      </w:r>
      <w:r w:rsidR="00142FE2">
        <w:rPr>
          <w:color w:val="000000" w:themeColor="text1"/>
          <w:sz w:val="22"/>
          <w:szCs w:val="22"/>
        </w:rPr>
        <w:t>é</w:t>
      </w:r>
      <w:r w:rsidRPr="004F0ADC">
        <w:rPr>
          <w:color w:val="000000" w:themeColor="text1"/>
          <w:sz w:val="22"/>
          <w:szCs w:val="22"/>
        </w:rPr>
        <w:t>rience de la vul</w:t>
      </w:r>
      <w:r w:rsidR="00142FE2">
        <w:rPr>
          <w:color w:val="000000" w:themeColor="text1"/>
          <w:sz w:val="22"/>
          <w:szCs w:val="22"/>
        </w:rPr>
        <w:t>né</w:t>
      </w:r>
      <w:r w:rsidRPr="004F0ADC">
        <w:rPr>
          <w:color w:val="000000" w:themeColor="text1"/>
          <w:sz w:val="22"/>
          <w:szCs w:val="22"/>
        </w:rPr>
        <w:t>rabilit</w:t>
      </w:r>
      <w:r w:rsidR="00142FE2">
        <w:rPr>
          <w:color w:val="000000" w:themeColor="text1"/>
          <w:sz w:val="22"/>
          <w:szCs w:val="22"/>
        </w:rPr>
        <w:t>é</w:t>
      </w:r>
      <w:r w:rsidRPr="004F0ADC">
        <w:rPr>
          <w:color w:val="000000" w:themeColor="text1"/>
          <w:sz w:val="22"/>
          <w:szCs w:val="22"/>
        </w:rPr>
        <w:t xml:space="preserve"> en une force de subjectivation. Ce t</w:t>
      </w:r>
      <w:r w:rsidR="00142FE2">
        <w:rPr>
          <w:color w:val="000000" w:themeColor="text1"/>
          <w:sz w:val="22"/>
          <w:szCs w:val="22"/>
        </w:rPr>
        <w:t>é</w:t>
      </w:r>
      <w:r w:rsidRPr="004F0ADC">
        <w:rPr>
          <w:color w:val="000000" w:themeColor="text1"/>
          <w:sz w:val="22"/>
          <w:szCs w:val="22"/>
        </w:rPr>
        <w:t>moignage plaide en faveur d’une universit</w:t>
      </w:r>
      <w:r w:rsidR="00142FE2">
        <w:rPr>
          <w:color w:val="000000" w:themeColor="text1"/>
          <w:sz w:val="22"/>
          <w:szCs w:val="22"/>
        </w:rPr>
        <w:t>é</w:t>
      </w:r>
      <w:r w:rsidRPr="004F0ADC">
        <w:rPr>
          <w:color w:val="000000" w:themeColor="text1"/>
          <w:sz w:val="22"/>
          <w:szCs w:val="22"/>
        </w:rPr>
        <w:t xml:space="preserve"> qui reconna</w:t>
      </w:r>
      <w:r w:rsidR="00142FE2">
        <w:rPr>
          <w:color w:val="000000" w:themeColor="text1"/>
          <w:sz w:val="22"/>
          <w:szCs w:val="22"/>
        </w:rPr>
        <w:t>î</w:t>
      </w:r>
      <w:r w:rsidRPr="004F0ADC">
        <w:rPr>
          <w:color w:val="000000" w:themeColor="text1"/>
          <w:sz w:val="22"/>
          <w:szCs w:val="22"/>
        </w:rPr>
        <w:t xml:space="preserve">t la valeur de parcours </w:t>
      </w:r>
      <w:proofErr w:type="spellStart"/>
      <w:r w:rsidRPr="004F0ADC">
        <w:rPr>
          <w:color w:val="000000" w:themeColor="text1"/>
          <w:sz w:val="22"/>
          <w:szCs w:val="22"/>
        </w:rPr>
        <w:t>rhizomatiques</w:t>
      </w:r>
      <w:proofErr w:type="spellEnd"/>
      <w:r w:rsidRPr="004F0ADC">
        <w:rPr>
          <w:color w:val="000000" w:themeColor="text1"/>
          <w:position w:val="4"/>
          <w:sz w:val="22"/>
          <w:szCs w:val="22"/>
        </w:rPr>
        <w:t xml:space="preserve"> </w:t>
      </w:r>
      <w:r w:rsidRPr="004F0ADC">
        <w:rPr>
          <w:color w:val="000000" w:themeColor="text1"/>
          <w:sz w:val="22"/>
          <w:szCs w:val="22"/>
        </w:rPr>
        <w:t>comme une richesse pour la communaut</w:t>
      </w:r>
      <w:r w:rsidR="00142FE2">
        <w:rPr>
          <w:color w:val="000000" w:themeColor="text1"/>
          <w:sz w:val="22"/>
          <w:szCs w:val="22"/>
        </w:rPr>
        <w:t>é</w:t>
      </w:r>
      <w:r w:rsidRPr="004F0ADC">
        <w:rPr>
          <w:color w:val="000000" w:themeColor="text1"/>
          <w:sz w:val="22"/>
          <w:szCs w:val="22"/>
        </w:rPr>
        <w:t xml:space="preserve"> acad</w:t>
      </w:r>
      <w:r w:rsidR="00142FE2">
        <w:rPr>
          <w:color w:val="000000" w:themeColor="text1"/>
          <w:sz w:val="22"/>
          <w:szCs w:val="22"/>
        </w:rPr>
        <w:t>é</w:t>
      </w:r>
      <w:r w:rsidRPr="004F0ADC">
        <w:rPr>
          <w:color w:val="000000" w:themeColor="text1"/>
          <w:sz w:val="22"/>
          <w:szCs w:val="22"/>
        </w:rPr>
        <w:t xml:space="preserve">mique. Cette </w:t>
      </w:r>
      <w:r w:rsidR="00142FE2">
        <w:rPr>
          <w:color w:val="000000" w:themeColor="text1"/>
          <w:sz w:val="22"/>
          <w:szCs w:val="22"/>
        </w:rPr>
        <w:t>é</w:t>
      </w:r>
      <w:r w:rsidRPr="004F0ADC">
        <w:rPr>
          <w:color w:val="000000" w:themeColor="text1"/>
          <w:sz w:val="22"/>
          <w:szCs w:val="22"/>
        </w:rPr>
        <w:t>tude souligne l’importance d’ajuster les cadres normatifs dans le but de p</w:t>
      </w:r>
      <w:r w:rsidR="00142FE2">
        <w:rPr>
          <w:color w:val="000000" w:themeColor="text1"/>
          <w:sz w:val="22"/>
          <w:szCs w:val="22"/>
        </w:rPr>
        <w:t>é</w:t>
      </w:r>
      <w:r w:rsidRPr="004F0ADC">
        <w:rPr>
          <w:color w:val="000000" w:themeColor="text1"/>
          <w:sz w:val="22"/>
          <w:szCs w:val="22"/>
        </w:rPr>
        <w:t>renniser les parcours atypiques au sein de l’universit</w:t>
      </w:r>
      <w:r w:rsidR="00142FE2">
        <w:rPr>
          <w:color w:val="000000" w:themeColor="text1"/>
          <w:sz w:val="22"/>
          <w:szCs w:val="22"/>
        </w:rPr>
        <w:t>é</w:t>
      </w:r>
      <w:r w:rsidRPr="004F0ADC">
        <w:rPr>
          <w:color w:val="000000" w:themeColor="text1"/>
          <w:sz w:val="22"/>
          <w:szCs w:val="22"/>
        </w:rPr>
        <w:t xml:space="preserve">. </w:t>
      </w:r>
    </w:p>
    <w:p w:rsidR="004F0ADC" w:rsidRPr="00142FE2" w:rsidRDefault="004F0ADC" w:rsidP="00142FE2">
      <w:pPr>
        <w:pStyle w:val="NormalWeb"/>
        <w:shd w:val="clear" w:color="auto" w:fill="FFFFFF"/>
        <w:rPr>
          <w:color w:val="000000" w:themeColor="text1"/>
          <w:sz w:val="22"/>
          <w:szCs w:val="22"/>
        </w:rPr>
      </w:pPr>
      <w:r w:rsidRPr="004F0ADC">
        <w:rPr>
          <w:color w:val="000000" w:themeColor="text1"/>
          <w:sz w:val="22"/>
          <w:szCs w:val="22"/>
        </w:rPr>
        <w:t>Bibliographie indicative</w:t>
      </w:r>
      <w:r w:rsidRPr="004F0ADC">
        <w:rPr>
          <w:color w:val="000000" w:themeColor="text1"/>
          <w:sz w:val="22"/>
          <w:szCs w:val="22"/>
        </w:rPr>
        <w:br/>
        <w:t xml:space="preserve">G. Canguilhem, </w:t>
      </w:r>
      <w:r w:rsidRPr="004F0ADC">
        <w:rPr>
          <w:i/>
          <w:iCs/>
          <w:color w:val="000000" w:themeColor="text1"/>
          <w:sz w:val="22"/>
          <w:szCs w:val="22"/>
        </w:rPr>
        <w:t>Le normal et le pathologique</w:t>
      </w:r>
      <w:r w:rsidRPr="004F0ADC">
        <w:rPr>
          <w:color w:val="000000" w:themeColor="text1"/>
          <w:sz w:val="22"/>
          <w:szCs w:val="22"/>
        </w:rPr>
        <w:t>. Paris : PUF, 2005.</w:t>
      </w:r>
      <w:r w:rsidRPr="004F0ADC">
        <w:rPr>
          <w:color w:val="000000" w:themeColor="text1"/>
          <w:sz w:val="22"/>
          <w:szCs w:val="22"/>
        </w:rPr>
        <w:br/>
        <w:t xml:space="preserve">G. Deleuze, F. Guattari, </w:t>
      </w:r>
      <w:r w:rsidRPr="004F0ADC">
        <w:rPr>
          <w:i/>
          <w:iCs/>
          <w:color w:val="000000" w:themeColor="text1"/>
          <w:sz w:val="22"/>
          <w:szCs w:val="22"/>
        </w:rPr>
        <w:t>Mille Plateaux</w:t>
      </w:r>
      <w:r w:rsidRPr="004F0ADC">
        <w:rPr>
          <w:color w:val="000000" w:themeColor="text1"/>
          <w:sz w:val="22"/>
          <w:szCs w:val="22"/>
        </w:rPr>
        <w:t xml:space="preserve">. Paris : </w:t>
      </w:r>
      <w:r w:rsidR="00142FE2" w:rsidRPr="004F0ADC">
        <w:rPr>
          <w:color w:val="000000" w:themeColor="text1"/>
          <w:sz w:val="22"/>
          <w:szCs w:val="22"/>
        </w:rPr>
        <w:t>Éditions</w:t>
      </w:r>
      <w:r w:rsidRPr="004F0ADC">
        <w:rPr>
          <w:color w:val="000000" w:themeColor="text1"/>
          <w:sz w:val="22"/>
          <w:szCs w:val="22"/>
        </w:rPr>
        <w:t xml:space="preserve"> de Minuit, 1980.</w:t>
      </w:r>
      <w:r w:rsidRPr="004F0ADC">
        <w:rPr>
          <w:color w:val="000000" w:themeColor="text1"/>
          <w:sz w:val="22"/>
          <w:szCs w:val="22"/>
        </w:rPr>
        <w:br/>
        <w:t xml:space="preserve">J. Derrida, </w:t>
      </w:r>
      <w:r w:rsidRPr="004F0ADC">
        <w:rPr>
          <w:i/>
          <w:iCs/>
          <w:color w:val="000000" w:themeColor="text1"/>
          <w:sz w:val="22"/>
          <w:szCs w:val="22"/>
        </w:rPr>
        <w:t>De l'</w:t>
      </w:r>
      <w:r w:rsidR="00142FE2" w:rsidRPr="004F0ADC">
        <w:rPr>
          <w:i/>
          <w:iCs/>
          <w:color w:val="000000" w:themeColor="text1"/>
          <w:sz w:val="22"/>
          <w:szCs w:val="22"/>
        </w:rPr>
        <w:t>hospitalité</w:t>
      </w:r>
      <w:r w:rsidRPr="004F0ADC">
        <w:rPr>
          <w:i/>
          <w:iCs/>
          <w:color w:val="000000" w:themeColor="text1"/>
          <w:sz w:val="22"/>
          <w:szCs w:val="22"/>
        </w:rPr>
        <w:t>́</w:t>
      </w:r>
      <w:r w:rsidRPr="004F0ADC">
        <w:rPr>
          <w:color w:val="000000" w:themeColor="text1"/>
          <w:sz w:val="22"/>
          <w:szCs w:val="22"/>
        </w:rPr>
        <w:t>. Paris : Calmann-L</w:t>
      </w:r>
      <w:r w:rsidR="00142FE2">
        <w:rPr>
          <w:color w:val="000000" w:themeColor="text1"/>
          <w:sz w:val="22"/>
          <w:szCs w:val="22"/>
        </w:rPr>
        <w:t>é</w:t>
      </w:r>
      <w:r w:rsidRPr="004F0ADC">
        <w:rPr>
          <w:color w:val="000000" w:themeColor="text1"/>
          <w:sz w:val="22"/>
          <w:szCs w:val="22"/>
        </w:rPr>
        <w:t>vy, 1997.</w:t>
      </w:r>
      <w:r w:rsidRPr="004F0ADC">
        <w:rPr>
          <w:color w:val="000000" w:themeColor="text1"/>
          <w:sz w:val="22"/>
          <w:szCs w:val="22"/>
        </w:rPr>
        <w:br/>
        <w:t xml:space="preserve">E. Goffman, </w:t>
      </w:r>
      <w:r w:rsidRPr="004F0ADC">
        <w:rPr>
          <w:i/>
          <w:iCs/>
          <w:color w:val="000000" w:themeColor="text1"/>
          <w:sz w:val="22"/>
          <w:szCs w:val="22"/>
        </w:rPr>
        <w:t>Stigmate. Les usages sociaux des handicaps</w:t>
      </w:r>
      <w:r w:rsidRPr="004F0ADC">
        <w:rPr>
          <w:color w:val="000000" w:themeColor="text1"/>
          <w:sz w:val="22"/>
          <w:szCs w:val="22"/>
        </w:rPr>
        <w:t xml:space="preserve">. Paris : </w:t>
      </w:r>
      <w:r w:rsidR="00142FE2" w:rsidRPr="004F0ADC">
        <w:rPr>
          <w:color w:val="000000" w:themeColor="text1"/>
          <w:sz w:val="22"/>
          <w:szCs w:val="22"/>
        </w:rPr>
        <w:t>Éditions</w:t>
      </w:r>
      <w:r w:rsidRPr="004F0ADC">
        <w:rPr>
          <w:color w:val="000000" w:themeColor="text1"/>
          <w:sz w:val="22"/>
          <w:szCs w:val="22"/>
        </w:rPr>
        <w:t xml:space="preserve"> de Minuit, 1975.</w:t>
      </w:r>
      <w:r w:rsidRPr="004F0ADC">
        <w:rPr>
          <w:color w:val="000000" w:themeColor="text1"/>
          <w:sz w:val="22"/>
          <w:szCs w:val="22"/>
        </w:rPr>
        <w:br/>
        <w:t xml:space="preserve">Ph. Meirieu, </w:t>
      </w:r>
      <w:r w:rsidR="00142FE2" w:rsidRPr="004F0ADC">
        <w:rPr>
          <w:i/>
          <w:iCs/>
          <w:color w:val="000000" w:themeColor="text1"/>
          <w:sz w:val="22"/>
          <w:szCs w:val="22"/>
        </w:rPr>
        <w:t>Pédagogie</w:t>
      </w:r>
      <w:r w:rsidRPr="004F0ADC">
        <w:rPr>
          <w:i/>
          <w:iCs/>
          <w:color w:val="000000" w:themeColor="text1"/>
          <w:sz w:val="22"/>
          <w:szCs w:val="22"/>
        </w:rPr>
        <w:t xml:space="preserve"> : le devoir de </w:t>
      </w:r>
      <w:r w:rsidR="00142FE2" w:rsidRPr="004F0ADC">
        <w:rPr>
          <w:i/>
          <w:iCs/>
          <w:color w:val="000000" w:themeColor="text1"/>
          <w:sz w:val="22"/>
          <w:szCs w:val="22"/>
        </w:rPr>
        <w:t>résister</w:t>
      </w:r>
      <w:r w:rsidRPr="004F0ADC">
        <w:rPr>
          <w:color w:val="000000" w:themeColor="text1"/>
          <w:sz w:val="22"/>
          <w:szCs w:val="22"/>
        </w:rPr>
        <w:t xml:space="preserve">. Paris : ESF </w:t>
      </w:r>
      <w:r w:rsidR="00142FE2" w:rsidRPr="004F0ADC">
        <w:rPr>
          <w:color w:val="000000" w:themeColor="text1"/>
          <w:sz w:val="22"/>
          <w:szCs w:val="22"/>
        </w:rPr>
        <w:t>Éditeur</w:t>
      </w:r>
      <w:r w:rsidRPr="004F0ADC">
        <w:rPr>
          <w:color w:val="000000" w:themeColor="text1"/>
          <w:sz w:val="22"/>
          <w:szCs w:val="22"/>
        </w:rPr>
        <w:t>, 2007.</w:t>
      </w:r>
      <w:r w:rsidRPr="004F0ADC">
        <w:rPr>
          <w:color w:val="000000" w:themeColor="text1"/>
          <w:sz w:val="22"/>
          <w:szCs w:val="22"/>
        </w:rPr>
        <w:br/>
        <w:t xml:space="preserve">A. Sen, </w:t>
      </w:r>
      <w:r w:rsidRPr="004F0ADC">
        <w:rPr>
          <w:i/>
          <w:iCs/>
          <w:color w:val="000000" w:themeColor="text1"/>
          <w:sz w:val="22"/>
          <w:szCs w:val="22"/>
        </w:rPr>
        <w:t>Repenser l’</w:t>
      </w:r>
      <w:r w:rsidR="00142FE2" w:rsidRPr="004F0ADC">
        <w:rPr>
          <w:i/>
          <w:iCs/>
          <w:color w:val="000000" w:themeColor="text1"/>
          <w:sz w:val="22"/>
          <w:szCs w:val="22"/>
        </w:rPr>
        <w:t>inégalité</w:t>
      </w:r>
      <w:r w:rsidRPr="004F0ADC">
        <w:rPr>
          <w:i/>
          <w:iCs/>
          <w:color w:val="000000" w:themeColor="text1"/>
          <w:sz w:val="22"/>
          <w:szCs w:val="22"/>
        </w:rPr>
        <w:t>́</w:t>
      </w:r>
      <w:r w:rsidRPr="004F0ADC">
        <w:rPr>
          <w:color w:val="000000" w:themeColor="text1"/>
          <w:sz w:val="22"/>
          <w:szCs w:val="22"/>
        </w:rPr>
        <w:t>. Paris : Points, 2012.</w:t>
      </w:r>
      <w:r w:rsidRPr="004F0ADC">
        <w:rPr>
          <w:color w:val="000000" w:themeColor="text1"/>
          <w:sz w:val="22"/>
          <w:szCs w:val="22"/>
        </w:rPr>
        <w:br/>
        <w:t xml:space="preserve">C. Tourette </w:t>
      </w:r>
      <w:proofErr w:type="spellStart"/>
      <w:r w:rsidRPr="004F0ADC">
        <w:rPr>
          <w:color w:val="000000" w:themeColor="text1"/>
          <w:sz w:val="22"/>
          <w:szCs w:val="22"/>
        </w:rPr>
        <w:t>Turgis</w:t>
      </w:r>
      <w:proofErr w:type="spellEnd"/>
      <w:r w:rsidRPr="004F0ADC">
        <w:rPr>
          <w:color w:val="000000" w:themeColor="text1"/>
          <w:sz w:val="22"/>
          <w:szCs w:val="22"/>
        </w:rPr>
        <w:t xml:space="preserve">, </w:t>
      </w:r>
      <w:r w:rsidRPr="004F0ADC">
        <w:rPr>
          <w:i/>
          <w:iCs/>
          <w:color w:val="000000" w:themeColor="text1"/>
          <w:sz w:val="22"/>
          <w:szCs w:val="22"/>
        </w:rPr>
        <w:t>L’</w:t>
      </w:r>
      <w:r w:rsidR="00142FE2" w:rsidRPr="004F0ADC">
        <w:rPr>
          <w:i/>
          <w:iCs/>
          <w:color w:val="000000" w:themeColor="text1"/>
          <w:sz w:val="22"/>
          <w:szCs w:val="22"/>
        </w:rPr>
        <w:t>éducation</w:t>
      </w:r>
      <w:r w:rsidRPr="004F0ADC">
        <w:rPr>
          <w:i/>
          <w:iCs/>
          <w:color w:val="000000" w:themeColor="text1"/>
          <w:sz w:val="22"/>
          <w:szCs w:val="22"/>
        </w:rPr>
        <w:t xml:space="preserve"> </w:t>
      </w:r>
      <w:r w:rsidR="00142FE2" w:rsidRPr="004F0ADC">
        <w:rPr>
          <w:i/>
          <w:iCs/>
          <w:color w:val="000000" w:themeColor="text1"/>
          <w:sz w:val="22"/>
          <w:szCs w:val="22"/>
        </w:rPr>
        <w:t>thérapeutique</w:t>
      </w:r>
      <w:r w:rsidRPr="004F0ADC">
        <w:rPr>
          <w:i/>
          <w:iCs/>
          <w:color w:val="000000" w:themeColor="text1"/>
          <w:sz w:val="22"/>
          <w:szCs w:val="22"/>
        </w:rPr>
        <w:t xml:space="preserve"> du patient, La maladie comme occasion d’apprentissage</w:t>
      </w:r>
      <w:r w:rsidRPr="004F0ADC">
        <w:rPr>
          <w:color w:val="000000" w:themeColor="text1"/>
          <w:sz w:val="22"/>
          <w:szCs w:val="22"/>
        </w:rPr>
        <w:t xml:space="preserve">. Paris : Edition De Boeck, Coll. </w:t>
      </w:r>
      <w:r w:rsidR="00142FE2" w:rsidRPr="004F0ADC">
        <w:rPr>
          <w:color w:val="000000" w:themeColor="text1"/>
          <w:sz w:val="22"/>
          <w:szCs w:val="22"/>
        </w:rPr>
        <w:t>Éducation</w:t>
      </w:r>
      <w:r w:rsidRPr="004F0ADC">
        <w:rPr>
          <w:color w:val="000000" w:themeColor="text1"/>
          <w:sz w:val="22"/>
          <w:szCs w:val="22"/>
        </w:rPr>
        <w:t xml:space="preserve"> </w:t>
      </w:r>
      <w:r w:rsidR="00142FE2" w:rsidRPr="004F0ADC">
        <w:rPr>
          <w:color w:val="000000" w:themeColor="text1"/>
          <w:sz w:val="22"/>
          <w:szCs w:val="22"/>
        </w:rPr>
        <w:t>thérapeutique</w:t>
      </w:r>
      <w:r w:rsidRPr="004F0ADC">
        <w:rPr>
          <w:color w:val="000000" w:themeColor="text1"/>
          <w:sz w:val="22"/>
          <w:szCs w:val="22"/>
        </w:rPr>
        <w:t>, soin et formation, 2015.</w:t>
      </w:r>
      <w:r w:rsidRPr="004F0ADC">
        <w:rPr>
          <w:color w:val="000000" w:themeColor="text1"/>
          <w:sz w:val="22"/>
          <w:szCs w:val="22"/>
        </w:rPr>
        <w:br/>
        <w:t xml:space="preserve">D. W. Winnicott, </w:t>
      </w:r>
      <w:r w:rsidRPr="004F0ADC">
        <w:rPr>
          <w:i/>
          <w:iCs/>
          <w:color w:val="000000" w:themeColor="text1"/>
          <w:sz w:val="22"/>
          <w:szCs w:val="22"/>
        </w:rPr>
        <w:t xml:space="preserve">Jeu et </w:t>
      </w:r>
      <w:r w:rsidR="00142FE2" w:rsidRPr="004F0ADC">
        <w:rPr>
          <w:i/>
          <w:iCs/>
          <w:color w:val="000000" w:themeColor="text1"/>
          <w:sz w:val="22"/>
          <w:szCs w:val="22"/>
        </w:rPr>
        <w:t>Réalité</w:t>
      </w:r>
      <w:r w:rsidRPr="004F0ADC">
        <w:rPr>
          <w:i/>
          <w:iCs/>
          <w:color w:val="000000" w:themeColor="text1"/>
          <w:sz w:val="22"/>
          <w:szCs w:val="22"/>
        </w:rPr>
        <w:t xml:space="preserve">́. </w:t>
      </w:r>
      <w:r w:rsidRPr="004F0ADC">
        <w:rPr>
          <w:color w:val="000000" w:themeColor="text1"/>
          <w:sz w:val="22"/>
          <w:szCs w:val="22"/>
        </w:rPr>
        <w:t xml:space="preserve">Paris : Gallimard, 1975. </w:t>
      </w:r>
    </w:p>
    <w:p w:rsidR="00C56C44" w:rsidRPr="004F0ADC" w:rsidRDefault="00C56C44" w:rsidP="00966500">
      <w:pPr>
        <w:rPr>
          <w:color w:val="000000" w:themeColor="text1"/>
        </w:rPr>
      </w:pPr>
    </w:p>
    <w:p w:rsidR="00C56C44" w:rsidRPr="00142FE2" w:rsidRDefault="00C56C44" w:rsidP="00142FE2">
      <w:pPr>
        <w:pBdr>
          <w:top w:val="single" w:sz="4" w:space="1" w:color="auto"/>
          <w:left w:val="single" w:sz="4" w:space="4" w:color="auto"/>
          <w:bottom w:val="single" w:sz="4" w:space="1" w:color="auto"/>
          <w:right w:val="single" w:sz="4" w:space="4" w:color="auto"/>
        </w:pBdr>
        <w:rPr>
          <w:b/>
          <w:bCs/>
        </w:rPr>
      </w:pPr>
      <w:r w:rsidRPr="00142FE2">
        <w:rPr>
          <w:b/>
          <w:bCs/>
        </w:rPr>
        <w:t xml:space="preserve">Amandine </w:t>
      </w:r>
      <w:proofErr w:type="spellStart"/>
      <w:r w:rsidRPr="00142FE2">
        <w:rPr>
          <w:b/>
          <w:bCs/>
        </w:rPr>
        <w:t>Roched</w:t>
      </w:r>
      <w:r w:rsidR="00142FE2">
        <w:rPr>
          <w:b/>
          <w:bCs/>
        </w:rPr>
        <w:t>y</w:t>
      </w:r>
      <w:proofErr w:type="spellEnd"/>
    </w:p>
    <w:p w:rsidR="00142FE2" w:rsidRPr="00142FE2" w:rsidRDefault="00142FE2" w:rsidP="00142FE2">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rPr>
          <w:color w:val="0070C0"/>
          <w:shd w:val="clear" w:color="auto" w:fill="FFFFFF"/>
        </w:rPr>
      </w:pPr>
      <w:r w:rsidRPr="00142FE2">
        <w:rPr>
          <w:color w:val="0070C0"/>
          <w:shd w:val="clear" w:color="auto" w:fill="FFFFFF"/>
        </w:rPr>
        <w:lastRenderedPageBreak/>
        <w:t>Être étudiant autiste et manger à l'université : ce que révèle l'expérience étudiante de l'accessibilité des temps et des espaces alimentaires</w:t>
      </w:r>
    </w:p>
    <w:p w:rsidR="00142FE2" w:rsidRPr="00142FE2" w:rsidRDefault="00142FE2" w:rsidP="00966500">
      <w:pPr>
        <w:rPr>
          <w:b/>
          <w:bCs/>
        </w:rPr>
      </w:pPr>
    </w:p>
    <w:p w:rsidR="00A23B82" w:rsidRPr="00A23B82" w:rsidRDefault="00142FE2" w:rsidP="00A23B82">
      <w:pPr>
        <w:rPr>
          <w:rFonts w:ascii="Times New Roman" w:eastAsia="Times New Roman" w:hAnsi="Times New Roman" w:cs="Times New Roman"/>
          <w:kern w:val="0"/>
          <w14:ligatures w14:val="none"/>
        </w:rPr>
      </w:pPr>
      <w:r w:rsidRPr="004D7ACA">
        <w:rPr>
          <w:b/>
          <w:bCs/>
          <w:sz w:val="22"/>
          <w:szCs w:val="22"/>
        </w:rPr>
        <w:t>Amandine ROCHEDY</w:t>
      </w:r>
      <w:r w:rsidR="00992BD9" w:rsidRPr="004D7ACA">
        <w:rPr>
          <w:b/>
          <w:bCs/>
          <w:sz w:val="22"/>
          <w:szCs w:val="22"/>
        </w:rPr>
        <w:t xml:space="preserve"> </w:t>
      </w:r>
      <w:r w:rsidR="00992BD9" w:rsidRPr="004D7ACA">
        <w:rPr>
          <w:sz w:val="22"/>
          <w:szCs w:val="22"/>
        </w:rPr>
        <w:t>est maîtresse de conférences</w:t>
      </w:r>
      <w:r w:rsidR="004D7ACA" w:rsidRPr="004D7ACA">
        <w:rPr>
          <w:sz w:val="22"/>
          <w:szCs w:val="22"/>
        </w:rPr>
        <w:t xml:space="preserve"> </w:t>
      </w:r>
      <w:r w:rsidR="004D7ACA">
        <w:rPr>
          <w:sz w:val="22"/>
          <w:szCs w:val="22"/>
        </w:rPr>
        <w:t xml:space="preserve">en sociologie à l’Université Toulouse – Jean Jaurès et membre </w:t>
      </w:r>
      <w:r w:rsidR="004D7ACA" w:rsidRPr="004D7ACA">
        <w:rPr>
          <w:sz w:val="22"/>
          <w:szCs w:val="22"/>
        </w:rPr>
        <w:t>de l’</w:t>
      </w:r>
      <w:r w:rsidR="00A23B82">
        <w:rPr>
          <w:sz w:val="22"/>
          <w:szCs w:val="22"/>
        </w:rPr>
        <w:t>U</w:t>
      </w:r>
      <w:r w:rsidR="004D7ACA" w:rsidRPr="004D7ACA">
        <w:rPr>
          <w:sz w:val="22"/>
          <w:szCs w:val="22"/>
        </w:rPr>
        <w:t xml:space="preserve">nité de recherche </w:t>
      </w:r>
      <w:r w:rsidR="004D7ACA" w:rsidRPr="004D7ACA">
        <w:rPr>
          <w:rFonts w:eastAsia="Times New Roman" w:cs="Times New Roman"/>
          <w:color w:val="151515"/>
          <w:kern w:val="0"/>
          <w:sz w:val="22"/>
          <w:szCs w:val="22"/>
          <w:shd w:val="clear" w:color="auto" w:fill="FFFFFF"/>
          <w14:ligatures w14:val="none"/>
        </w:rPr>
        <w:t>Transitions Organisations Politiques Inégalités</w:t>
      </w:r>
      <w:r w:rsidR="00A23B82">
        <w:rPr>
          <w:rFonts w:eastAsia="Times New Roman" w:cs="Times New Roman"/>
          <w:color w:val="151515"/>
          <w:kern w:val="0"/>
          <w:sz w:val="22"/>
          <w:szCs w:val="22"/>
          <w:shd w:val="clear" w:color="auto" w:fill="FFFFFF"/>
          <w14:ligatures w14:val="none"/>
        </w:rPr>
        <w:t xml:space="preserve"> </w:t>
      </w:r>
      <w:r w:rsidR="00A23B82" w:rsidRPr="00A23B82">
        <w:rPr>
          <w:rFonts w:ascii="Times New Roman" w:eastAsia="Times New Roman" w:hAnsi="Times New Roman" w:cs="Times New Roman"/>
          <w:color w:val="151515"/>
          <w:kern w:val="0"/>
          <w:sz w:val="22"/>
          <w:szCs w:val="22"/>
          <w14:ligatures w14:val="none"/>
        </w:rPr>
        <w:t>(</w:t>
      </w:r>
      <w:r w:rsidR="00A23B82" w:rsidRPr="00A23B82">
        <w:rPr>
          <w:rFonts w:ascii="Times New Roman" w:eastAsia="Times New Roman" w:hAnsi="Times New Roman" w:cs="Times New Roman"/>
          <w:color w:val="151515"/>
          <w:kern w:val="0"/>
          <w:sz w:val="22"/>
          <w:szCs w:val="22"/>
          <w14:ligatures w14:val="none"/>
        </w:rPr>
        <w:t>Sciences Po Toulouse - Institut d'études politiques de Toulouse, Centre National de la Recherche Scientifique, Université de Toulouse</w:t>
      </w:r>
      <w:r w:rsidR="00A23B82" w:rsidRPr="00A23B82">
        <w:rPr>
          <w:rFonts w:ascii="Times New Roman" w:eastAsia="Times New Roman" w:hAnsi="Times New Roman" w:cs="Times New Roman"/>
          <w:color w:val="151515"/>
          <w:kern w:val="0"/>
          <w:sz w:val="22"/>
          <w:szCs w:val="22"/>
          <w14:ligatures w14:val="none"/>
        </w:rPr>
        <w:t>)</w:t>
      </w:r>
      <w:r w:rsidR="00A23B82">
        <w:rPr>
          <w:rFonts w:ascii="Times New Roman" w:eastAsia="Times New Roman" w:hAnsi="Times New Roman" w:cs="Times New Roman"/>
          <w:color w:val="151515"/>
          <w:kern w:val="0"/>
          <w:sz w:val="22"/>
          <w:szCs w:val="22"/>
          <w14:ligatures w14:val="none"/>
        </w:rPr>
        <w:t>.</w:t>
      </w:r>
    </w:p>
    <w:p w:rsidR="00142FE2" w:rsidRDefault="00142FE2" w:rsidP="00966500">
      <w:pPr>
        <w:rPr>
          <w:b/>
          <w:bCs/>
          <w:sz w:val="22"/>
          <w:szCs w:val="22"/>
        </w:rPr>
      </w:pPr>
    </w:p>
    <w:p w:rsidR="00142FE2" w:rsidRPr="00142FE2" w:rsidRDefault="00142FE2" w:rsidP="00142FE2">
      <w:pPr>
        <w:pStyle w:val="NormalWeb"/>
        <w:shd w:val="clear" w:color="auto" w:fill="FFFFFF"/>
        <w:spacing w:before="0" w:beforeAutospacing="0" w:after="0" w:afterAutospacing="0"/>
        <w:rPr>
          <w:b/>
          <w:bCs/>
          <w:color w:val="151515"/>
          <w:sz w:val="22"/>
          <w:szCs w:val="22"/>
          <w:shd w:val="clear" w:color="auto" w:fill="FFFFFF"/>
        </w:rPr>
      </w:pPr>
      <w:r w:rsidRPr="00142FE2">
        <w:rPr>
          <w:b/>
          <w:bCs/>
          <w:color w:val="151515"/>
          <w:sz w:val="22"/>
          <w:szCs w:val="22"/>
          <w:shd w:val="clear" w:color="auto" w:fill="FFFFFF"/>
        </w:rPr>
        <w:t>Être étudiant autiste et manger à l'université : ce que révèle l'expérience étudiante de l'accessibilité des temps et des espaces alimentaires</w:t>
      </w:r>
    </w:p>
    <w:p w:rsidR="00142FE2" w:rsidRPr="00142FE2" w:rsidRDefault="00142FE2" w:rsidP="00142FE2">
      <w:pPr>
        <w:pStyle w:val="NormalWeb"/>
        <w:shd w:val="clear" w:color="auto" w:fill="FFFFFF"/>
        <w:spacing w:before="0" w:beforeAutospacing="0" w:after="0" w:afterAutospacing="0"/>
        <w:rPr>
          <w:color w:val="151515"/>
          <w:sz w:val="22"/>
          <w:szCs w:val="22"/>
          <w:shd w:val="clear" w:color="auto" w:fill="FFFFFF"/>
        </w:rPr>
      </w:pPr>
    </w:p>
    <w:p w:rsidR="00142FE2" w:rsidRPr="00142FE2" w:rsidRDefault="00142FE2" w:rsidP="00142FE2">
      <w:pPr>
        <w:pStyle w:val="NormalWeb"/>
        <w:shd w:val="clear" w:color="auto" w:fill="FFFFFF"/>
        <w:spacing w:before="0" w:beforeAutospacing="0" w:after="0" w:afterAutospacing="0"/>
        <w:rPr>
          <w:color w:val="151515"/>
          <w:sz w:val="22"/>
          <w:szCs w:val="22"/>
        </w:rPr>
      </w:pPr>
      <w:r w:rsidRPr="00142FE2">
        <w:rPr>
          <w:color w:val="151515"/>
          <w:sz w:val="22"/>
          <w:szCs w:val="22"/>
        </w:rPr>
        <w:t>Dans la continuité des textes promus en matière de handicap (1975, 2005) et de scolarisation inclusive (2013, 2019), les réformes relatives aux universités (2007, 2013, 2018) se sont emparées du changement paradigmatique en marche, ambitionnant désormais une « université pleinement accessible » (6e CNH, 2023), en particulier pour les publics étudiants présentant des Troubles du neurodéveloppement (TND).</w:t>
      </w:r>
    </w:p>
    <w:p w:rsidR="00142FE2" w:rsidRPr="00142FE2" w:rsidRDefault="00142FE2" w:rsidP="00142FE2">
      <w:pPr>
        <w:pStyle w:val="NormalWeb"/>
        <w:shd w:val="clear" w:color="auto" w:fill="FFFFFF"/>
        <w:spacing w:before="0" w:beforeAutospacing="0" w:after="0" w:afterAutospacing="0"/>
        <w:rPr>
          <w:color w:val="151515"/>
          <w:sz w:val="22"/>
          <w:szCs w:val="22"/>
        </w:rPr>
      </w:pPr>
      <w:r w:rsidRPr="00142FE2">
        <w:rPr>
          <w:color w:val="151515"/>
          <w:sz w:val="22"/>
          <w:szCs w:val="22"/>
        </w:rPr>
        <w:t>Largement centrées sur l'accessibilité physique et pédagogique, ces prescriptions négligent cependant les temps et les espaces interstitiels, notamment alimentaires. Considérés comme des « non-lieux » aux usages implicites (</w:t>
      </w:r>
      <w:proofErr w:type="spellStart"/>
      <w:r w:rsidRPr="00142FE2">
        <w:rPr>
          <w:color w:val="151515"/>
          <w:sz w:val="22"/>
          <w:szCs w:val="22"/>
        </w:rPr>
        <w:t>Sgard</w:t>
      </w:r>
      <w:proofErr w:type="spellEnd"/>
      <w:r w:rsidRPr="00142FE2">
        <w:rPr>
          <w:color w:val="151515"/>
          <w:sz w:val="22"/>
          <w:szCs w:val="22"/>
        </w:rPr>
        <w:t xml:space="preserve"> &amp; Hoyaux, 2006 ; </w:t>
      </w:r>
      <w:proofErr w:type="spellStart"/>
      <w:r w:rsidRPr="00142FE2">
        <w:rPr>
          <w:color w:val="151515"/>
          <w:sz w:val="22"/>
          <w:szCs w:val="22"/>
        </w:rPr>
        <w:t>Depoilly</w:t>
      </w:r>
      <w:proofErr w:type="spellEnd"/>
      <w:r w:rsidRPr="00142FE2">
        <w:rPr>
          <w:color w:val="151515"/>
          <w:sz w:val="22"/>
          <w:szCs w:val="22"/>
        </w:rPr>
        <w:t xml:space="preserve">, 2015 ; </w:t>
      </w:r>
      <w:proofErr w:type="spellStart"/>
      <w:r w:rsidRPr="00142FE2">
        <w:rPr>
          <w:color w:val="151515"/>
          <w:sz w:val="22"/>
          <w:szCs w:val="22"/>
        </w:rPr>
        <w:t>Kérivel</w:t>
      </w:r>
      <w:proofErr w:type="spellEnd"/>
      <w:r w:rsidRPr="00142FE2">
        <w:rPr>
          <w:color w:val="151515"/>
          <w:sz w:val="22"/>
          <w:szCs w:val="22"/>
        </w:rPr>
        <w:t>, 2015), ces environnements, impensés des politiques d'accessibilité (</w:t>
      </w:r>
      <w:proofErr w:type="spellStart"/>
      <w:r w:rsidRPr="00142FE2">
        <w:rPr>
          <w:color w:val="151515"/>
          <w:sz w:val="22"/>
          <w:szCs w:val="22"/>
        </w:rPr>
        <w:t>Rochedy</w:t>
      </w:r>
      <w:proofErr w:type="spellEnd"/>
      <w:r w:rsidRPr="00142FE2">
        <w:rPr>
          <w:color w:val="151515"/>
          <w:sz w:val="22"/>
          <w:szCs w:val="22"/>
        </w:rPr>
        <w:t xml:space="preserve">, 2024), génèrent alors inégalités et « exclusions de l'intérieur » (Bourdieu &amp; Champagne, 1992 ; </w:t>
      </w:r>
      <w:proofErr w:type="spellStart"/>
      <w:r w:rsidRPr="00142FE2">
        <w:rPr>
          <w:color w:val="151515"/>
          <w:sz w:val="22"/>
          <w:szCs w:val="22"/>
        </w:rPr>
        <w:t>Berzin</w:t>
      </w:r>
      <w:proofErr w:type="spellEnd"/>
      <w:r w:rsidRPr="00142FE2">
        <w:rPr>
          <w:color w:val="151515"/>
          <w:sz w:val="22"/>
          <w:szCs w:val="22"/>
        </w:rPr>
        <w:t>, 2015).</w:t>
      </w:r>
    </w:p>
    <w:p w:rsidR="00142FE2" w:rsidRPr="00142FE2" w:rsidRDefault="00142FE2" w:rsidP="00142FE2">
      <w:pPr>
        <w:pStyle w:val="NormalWeb"/>
        <w:shd w:val="clear" w:color="auto" w:fill="FFFFFF"/>
        <w:spacing w:before="0" w:beforeAutospacing="0" w:after="0" w:afterAutospacing="0"/>
        <w:rPr>
          <w:color w:val="151515"/>
          <w:sz w:val="22"/>
          <w:szCs w:val="22"/>
        </w:rPr>
      </w:pPr>
    </w:p>
    <w:p w:rsidR="00142FE2" w:rsidRPr="00142FE2" w:rsidRDefault="00142FE2" w:rsidP="00142FE2">
      <w:pPr>
        <w:pStyle w:val="NormalWeb"/>
        <w:shd w:val="clear" w:color="auto" w:fill="FFFFFF"/>
        <w:spacing w:before="0" w:beforeAutospacing="0" w:after="0" w:afterAutospacing="0"/>
        <w:rPr>
          <w:color w:val="151515"/>
          <w:sz w:val="22"/>
          <w:szCs w:val="22"/>
        </w:rPr>
      </w:pPr>
      <w:r w:rsidRPr="00142FE2">
        <w:rPr>
          <w:color w:val="151515"/>
          <w:sz w:val="22"/>
          <w:szCs w:val="22"/>
        </w:rPr>
        <w:t>Cette communication rend compte d'une étude exploratoire menée dans le cadre du programme de recherche </w:t>
      </w:r>
      <w:r w:rsidRPr="00142FE2">
        <w:rPr>
          <w:rStyle w:val="Accentuation"/>
          <w:color w:val="151515"/>
          <w:sz w:val="22"/>
          <w:szCs w:val="22"/>
        </w:rPr>
        <w:t xml:space="preserve">Université </w:t>
      </w:r>
      <w:proofErr w:type="spellStart"/>
      <w:r w:rsidRPr="00142FE2">
        <w:rPr>
          <w:rStyle w:val="Accentuation"/>
          <w:color w:val="151515"/>
          <w:sz w:val="22"/>
          <w:szCs w:val="22"/>
        </w:rPr>
        <w:t>Alim'clusive</w:t>
      </w:r>
      <w:proofErr w:type="spellEnd"/>
      <w:r w:rsidRPr="00142FE2">
        <w:rPr>
          <w:color w:val="151515"/>
          <w:sz w:val="22"/>
          <w:szCs w:val="22"/>
        </w:rPr>
        <w:t>, croisant sociologie de l'alimentation et sciences de l'éducation et de la formation. Inscrite dans la </w:t>
      </w:r>
      <w:r w:rsidRPr="00142FE2">
        <w:rPr>
          <w:rStyle w:val="Accentuation"/>
          <w:color w:val="151515"/>
          <w:sz w:val="22"/>
          <w:szCs w:val="22"/>
        </w:rPr>
        <w:t xml:space="preserve">new area of </w:t>
      </w:r>
      <w:proofErr w:type="spellStart"/>
      <w:r w:rsidRPr="00142FE2">
        <w:rPr>
          <w:rStyle w:val="Accentuation"/>
          <w:color w:val="151515"/>
          <w:sz w:val="22"/>
          <w:szCs w:val="22"/>
        </w:rPr>
        <w:t>autism</w:t>
      </w:r>
      <w:proofErr w:type="spellEnd"/>
      <w:r w:rsidRPr="00142FE2">
        <w:rPr>
          <w:rStyle w:val="Accentuation"/>
          <w:color w:val="151515"/>
          <w:sz w:val="22"/>
          <w:szCs w:val="22"/>
        </w:rPr>
        <w:t xml:space="preserve"> </w:t>
      </w:r>
      <w:proofErr w:type="spellStart"/>
      <w:r w:rsidRPr="00142FE2">
        <w:rPr>
          <w:rStyle w:val="Accentuation"/>
          <w:color w:val="151515"/>
          <w:sz w:val="22"/>
          <w:szCs w:val="22"/>
        </w:rPr>
        <w:t>research</w:t>
      </w:r>
      <w:proofErr w:type="spellEnd"/>
      <w:r w:rsidRPr="00142FE2">
        <w:rPr>
          <w:color w:val="151515"/>
          <w:sz w:val="22"/>
          <w:szCs w:val="22"/>
        </w:rPr>
        <w:t> (</w:t>
      </w:r>
      <w:proofErr w:type="spellStart"/>
      <w:r w:rsidRPr="00142FE2">
        <w:rPr>
          <w:color w:val="151515"/>
          <w:sz w:val="22"/>
          <w:szCs w:val="22"/>
        </w:rPr>
        <w:t>Pellicano</w:t>
      </w:r>
      <w:proofErr w:type="spellEnd"/>
      <w:r w:rsidRPr="00142FE2">
        <w:rPr>
          <w:color w:val="151515"/>
          <w:sz w:val="22"/>
          <w:szCs w:val="22"/>
        </w:rPr>
        <w:t>, 2014) et mobilisant une approche participative et inclusive valorisant les savoirs expérientiels (</w:t>
      </w:r>
      <w:proofErr w:type="spellStart"/>
      <w:r w:rsidRPr="00142FE2">
        <w:rPr>
          <w:color w:val="151515"/>
          <w:sz w:val="22"/>
          <w:szCs w:val="22"/>
        </w:rPr>
        <w:t>Borkman</w:t>
      </w:r>
      <w:proofErr w:type="spellEnd"/>
      <w:r w:rsidRPr="00142FE2">
        <w:rPr>
          <w:color w:val="151515"/>
          <w:sz w:val="22"/>
          <w:szCs w:val="22"/>
        </w:rPr>
        <w:t>, 1976 ; Savournin &amp; Pelletier, 2025), cette étude examine l'accessibilité des espaces et des temps alimentaires universitaires, à travers une autobiographie alimentaire (</w:t>
      </w:r>
      <w:proofErr w:type="spellStart"/>
      <w:r w:rsidRPr="00142FE2">
        <w:rPr>
          <w:color w:val="151515"/>
          <w:sz w:val="22"/>
          <w:szCs w:val="22"/>
        </w:rPr>
        <w:t>Peneff</w:t>
      </w:r>
      <w:proofErr w:type="spellEnd"/>
      <w:r w:rsidRPr="00142FE2">
        <w:rPr>
          <w:color w:val="151515"/>
          <w:sz w:val="22"/>
          <w:szCs w:val="22"/>
        </w:rPr>
        <w:t>, 1990), co-écrite avec un étudiant autiste.</w:t>
      </w:r>
    </w:p>
    <w:p w:rsidR="00142FE2" w:rsidRPr="00142FE2" w:rsidRDefault="00142FE2" w:rsidP="00142FE2">
      <w:pPr>
        <w:pStyle w:val="NormalWeb"/>
        <w:shd w:val="clear" w:color="auto" w:fill="FFFFFF"/>
        <w:spacing w:before="0" w:beforeAutospacing="0" w:after="0" w:afterAutospacing="0"/>
        <w:rPr>
          <w:color w:val="151515"/>
          <w:sz w:val="22"/>
          <w:szCs w:val="22"/>
        </w:rPr>
      </w:pPr>
      <w:r w:rsidRPr="00142FE2">
        <w:rPr>
          <w:color w:val="151515"/>
          <w:sz w:val="22"/>
          <w:szCs w:val="22"/>
        </w:rPr>
        <w:t>Les résultats mettent en évidence les contraintes expérimentées par l'étudiant en matière d'accessibilité, tant à domicile que sur son campus, à chaque étape de son itinéraire (</w:t>
      </w:r>
      <w:proofErr w:type="spellStart"/>
      <w:r w:rsidRPr="00142FE2">
        <w:rPr>
          <w:color w:val="151515"/>
          <w:sz w:val="22"/>
          <w:szCs w:val="22"/>
        </w:rPr>
        <w:t>Desjeux</w:t>
      </w:r>
      <w:proofErr w:type="spellEnd"/>
      <w:r w:rsidRPr="00142FE2">
        <w:rPr>
          <w:color w:val="151515"/>
          <w:sz w:val="22"/>
          <w:szCs w:val="22"/>
        </w:rPr>
        <w:t>, 2004) et de son parcours alimentaire (Corbeau, 2007). Ils révèlent la charge cognitive, sensorielle et sociale que peut représenter l'alimentation à l'université, ainsi que les tensions entre stratégie individuelle de compensation, stigmatisation (Goffman, 1975) et accessibilité. Aussi, l'étude met en exergue la nécessité d'une mise en accessibilité généralisée, qui tienne compte de la pluridimensionnalité des enjeux qui traversent l'acte alimentaire, et garantissent des environnements universitaires véritablement capacitant (</w:t>
      </w:r>
      <w:proofErr w:type="spellStart"/>
      <w:r w:rsidRPr="00142FE2">
        <w:rPr>
          <w:color w:val="151515"/>
          <w:sz w:val="22"/>
          <w:szCs w:val="22"/>
        </w:rPr>
        <w:t>Fernagu</w:t>
      </w:r>
      <w:proofErr w:type="spellEnd"/>
      <w:r w:rsidRPr="00142FE2">
        <w:rPr>
          <w:color w:val="151515"/>
          <w:sz w:val="22"/>
          <w:szCs w:val="22"/>
        </w:rPr>
        <w:t>, 2022).</w:t>
      </w:r>
    </w:p>
    <w:p w:rsidR="00142FE2" w:rsidRPr="00142FE2" w:rsidRDefault="00142FE2" w:rsidP="00142FE2">
      <w:pPr>
        <w:pStyle w:val="NormalWeb"/>
        <w:shd w:val="clear" w:color="auto" w:fill="FFFFFF"/>
        <w:spacing w:before="0" w:beforeAutospacing="0" w:after="0" w:afterAutospacing="0"/>
        <w:rPr>
          <w:color w:val="151515"/>
          <w:sz w:val="22"/>
          <w:szCs w:val="22"/>
        </w:rPr>
      </w:pPr>
    </w:p>
    <w:p w:rsidR="00142FE2" w:rsidRPr="00142FE2" w:rsidRDefault="00142FE2" w:rsidP="00142FE2">
      <w:pPr>
        <w:pStyle w:val="NormalWeb"/>
        <w:shd w:val="clear" w:color="auto" w:fill="FFFFFF"/>
        <w:spacing w:before="0" w:beforeAutospacing="0" w:after="0" w:afterAutospacing="0"/>
        <w:rPr>
          <w:color w:val="151515"/>
          <w:sz w:val="22"/>
          <w:szCs w:val="22"/>
        </w:rPr>
      </w:pPr>
      <w:r w:rsidRPr="00142FE2">
        <w:rPr>
          <w:color w:val="151515"/>
          <w:sz w:val="22"/>
          <w:szCs w:val="22"/>
          <w:shd w:val="clear" w:color="auto" w:fill="FFFFFF"/>
        </w:rPr>
        <w:t>Autisme ; Accessibilité ; Université inclusive ; Enseignement supérieur ; Environnement alimentaire.</w:t>
      </w:r>
    </w:p>
    <w:p w:rsidR="00142FE2" w:rsidRDefault="00142FE2" w:rsidP="00142FE2">
      <w:pPr>
        <w:pStyle w:val="NormalWeb"/>
        <w:shd w:val="clear" w:color="auto" w:fill="FFFFFF"/>
        <w:spacing w:before="0" w:beforeAutospacing="0" w:after="0" w:afterAutospacing="0"/>
        <w:jc w:val="both"/>
      </w:pPr>
    </w:p>
    <w:p w:rsidR="00142FE2" w:rsidRPr="00142FE2" w:rsidRDefault="00142FE2" w:rsidP="00966500">
      <w:pPr>
        <w:rPr>
          <w:b/>
          <w:bCs/>
          <w:sz w:val="22"/>
          <w:szCs w:val="22"/>
        </w:rPr>
      </w:pPr>
    </w:p>
    <w:p w:rsidR="00C56C44" w:rsidRPr="00A23B82" w:rsidRDefault="00C56C44" w:rsidP="00966500">
      <w:pPr>
        <w:rPr>
          <w:b/>
          <w:bCs/>
        </w:rPr>
      </w:pPr>
    </w:p>
    <w:p w:rsidR="00C56C44" w:rsidRPr="002D5D8D" w:rsidRDefault="00C56C44" w:rsidP="002D5D8D">
      <w:pPr>
        <w:pBdr>
          <w:top w:val="single" w:sz="4" w:space="1" w:color="auto"/>
          <w:left w:val="single" w:sz="4" w:space="4" w:color="auto"/>
          <w:bottom w:val="single" w:sz="4" w:space="1" w:color="auto"/>
          <w:right w:val="single" w:sz="4" w:space="4" w:color="auto"/>
        </w:pBdr>
        <w:rPr>
          <w:b/>
          <w:bCs/>
          <w:color w:val="0070C0"/>
        </w:rPr>
      </w:pPr>
      <w:r w:rsidRPr="002D5D8D">
        <w:rPr>
          <w:b/>
          <w:bCs/>
          <w:color w:val="0070C0"/>
        </w:rPr>
        <w:t>Pierre Reynaud</w:t>
      </w:r>
    </w:p>
    <w:p w:rsidR="002D5D8D" w:rsidRPr="002D5D8D" w:rsidRDefault="002D5D8D" w:rsidP="002D5D8D">
      <w:pPr>
        <w:pBdr>
          <w:top w:val="single" w:sz="4" w:space="1" w:color="auto"/>
          <w:left w:val="single" w:sz="4" w:space="4" w:color="auto"/>
          <w:bottom w:val="single" w:sz="4" w:space="1" w:color="auto"/>
          <w:right w:val="single" w:sz="4" w:space="4" w:color="auto"/>
        </w:pBdr>
        <w:rPr>
          <w:color w:val="0070C0"/>
        </w:rPr>
      </w:pPr>
      <w:r w:rsidRPr="002D5D8D">
        <w:rPr>
          <w:color w:val="0070C0"/>
        </w:rPr>
        <w:t xml:space="preserve">L’accessibilité numérique comme moteur d’inclusion : Retours d’expérience du </w:t>
      </w:r>
      <w:proofErr w:type="spellStart"/>
      <w:r w:rsidRPr="002D5D8D">
        <w:rPr>
          <w:color w:val="0070C0"/>
        </w:rPr>
        <w:t>DU</w:t>
      </w:r>
      <w:proofErr w:type="spellEnd"/>
      <w:r w:rsidRPr="002D5D8D">
        <w:rPr>
          <w:color w:val="0070C0"/>
        </w:rPr>
        <w:t xml:space="preserve"> Référents Accessibilité Numérique et leviers de généralisation</w:t>
      </w:r>
    </w:p>
    <w:p w:rsidR="00A23B82" w:rsidRPr="00A23B82" w:rsidRDefault="00A23B82" w:rsidP="00966500">
      <w:pPr>
        <w:rPr>
          <w:b/>
          <w:bCs/>
        </w:rPr>
      </w:pPr>
    </w:p>
    <w:p w:rsidR="00A23B82" w:rsidRPr="00A23B82" w:rsidRDefault="00A23B82" w:rsidP="00A23B82">
      <w:pPr>
        <w:rPr>
          <w:sz w:val="22"/>
          <w:szCs w:val="22"/>
        </w:rPr>
      </w:pPr>
      <w:r w:rsidRPr="00A23B82">
        <w:rPr>
          <w:b/>
          <w:bCs/>
          <w:sz w:val="22"/>
          <w:szCs w:val="22"/>
        </w:rPr>
        <w:t xml:space="preserve">Pierre REYNAUD </w:t>
      </w:r>
      <w:r>
        <w:rPr>
          <w:sz w:val="22"/>
          <w:szCs w:val="22"/>
        </w:rPr>
        <w:t>est r</w:t>
      </w:r>
      <w:r w:rsidRPr="00A23B82">
        <w:rPr>
          <w:sz w:val="22"/>
          <w:szCs w:val="22"/>
        </w:rPr>
        <w:t>éférent accessibilité numérique à l’université de La Réunion</w:t>
      </w:r>
      <w:r>
        <w:rPr>
          <w:sz w:val="22"/>
          <w:szCs w:val="22"/>
        </w:rPr>
        <w:t xml:space="preserve"> et</w:t>
      </w:r>
      <w:r w:rsidRPr="00A23B82">
        <w:rPr>
          <w:sz w:val="22"/>
          <w:szCs w:val="22"/>
        </w:rPr>
        <w:t xml:space="preserve"> </w:t>
      </w:r>
    </w:p>
    <w:p w:rsidR="00A23B82" w:rsidRPr="00A23B82" w:rsidRDefault="00A23B82" w:rsidP="00A23B82">
      <w:pPr>
        <w:rPr>
          <w:sz w:val="22"/>
          <w:szCs w:val="22"/>
        </w:rPr>
      </w:pPr>
      <w:r w:rsidRPr="00A23B82">
        <w:rPr>
          <w:sz w:val="22"/>
          <w:szCs w:val="22"/>
        </w:rPr>
        <w:t>Président fondateur de l’Association Professionnelle des</w:t>
      </w:r>
      <w:r>
        <w:rPr>
          <w:sz w:val="22"/>
          <w:szCs w:val="22"/>
        </w:rPr>
        <w:t xml:space="preserve"> </w:t>
      </w:r>
      <w:r w:rsidRPr="00A23B82">
        <w:rPr>
          <w:sz w:val="22"/>
          <w:szCs w:val="22"/>
        </w:rPr>
        <w:t>Référents Accessibilité Numériques de l’Enseignement Supérieur et de la</w:t>
      </w:r>
      <w:r>
        <w:rPr>
          <w:sz w:val="22"/>
          <w:szCs w:val="22"/>
        </w:rPr>
        <w:t xml:space="preserve"> </w:t>
      </w:r>
      <w:r w:rsidRPr="00A23B82">
        <w:rPr>
          <w:sz w:val="22"/>
          <w:szCs w:val="22"/>
        </w:rPr>
        <w:t>Recherche (APRANESR).</w:t>
      </w:r>
    </w:p>
    <w:p w:rsidR="00A23B82" w:rsidRPr="00A23B82" w:rsidRDefault="00A23B82" w:rsidP="00A23B82">
      <w:pPr>
        <w:rPr>
          <w:sz w:val="22"/>
          <w:szCs w:val="22"/>
        </w:rPr>
      </w:pPr>
      <w:r>
        <w:rPr>
          <w:sz w:val="22"/>
          <w:szCs w:val="22"/>
        </w:rPr>
        <w:t>S</w:t>
      </w:r>
      <w:r w:rsidRPr="00A23B82">
        <w:rPr>
          <w:sz w:val="22"/>
          <w:szCs w:val="22"/>
        </w:rPr>
        <w:t>on expertise se situe au confluent de l’accessibilité numérique et de</w:t>
      </w:r>
      <w:r>
        <w:rPr>
          <w:sz w:val="22"/>
          <w:szCs w:val="22"/>
        </w:rPr>
        <w:t xml:space="preserve"> l</w:t>
      </w:r>
      <w:r w:rsidRPr="00A23B82">
        <w:rPr>
          <w:sz w:val="22"/>
          <w:szCs w:val="22"/>
        </w:rPr>
        <w:t>’inclusion numérique pour les personnes en situation de handicap.</w:t>
      </w:r>
      <w:r>
        <w:rPr>
          <w:sz w:val="22"/>
          <w:szCs w:val="22"/>
        </w:rPr>
        <w:t xml:space="preserve"> </w:t>
      </w:r>
      <w:r w:rsidRPr="00A23B82">
        <w:rPr>
          <w:sz w:val="22"/>
          <w:szCs w:val="22"/>
        </w:rPr>
        <w:t>Responsable pédagogique du Diplôme Universitaire de Référents</w:t>
      </w:r>
      <w:r w:rsidR="002D5D8D">
        <w:rPr>
          <w:sz w:val="22"/>
          <w:szCs w:val="22"/>
        </w:rPr>
        <w:t xml:space="preserve"> </w:t>
      </w:r>
      <w:r w:rsidRPr="00A23B82">
        <w:rPr>
          <w:sz w:val="22"/>
          <w:szCs w:val="22"/>
        </w:rPr>
        <w:t>accessibilit</w:t>
      </w:r>
      <w:r>
        <w:rPr>
          <w:sz w:val="22"/>
          <w:szCs w:val="22"/>
        </w:rPr>
        <w:t>é</w:t>
      </w:r>
      <w:r w:rsidRPr="00A23B82">
        <w:rPr>
          <w:sz w:val="22"/>
          <w:szCs w:val="22"/>
        </w:rPr>
        <w:t xml:space="preserve"> Numérique de l’université de La Réunion, </w:t>
      </w:r>
      <w:r>
        <w:rPr>
          <w:sz w:val="22"/>
          <w:szCs w:val="22"/>
        </w:rPr>
        <w:t xml:space="preserve">il </w:t>
      </w:r>
      <w:r w:rsidRPr="00A23B82">
        <w:rPr>
          <w:sz w:val="22"/>
          <w:szCs w:val="22"/>
        </w:rPr>
        <w:t>accompagne les</w:t>
      </w:r>
      <w:r>
        <w:rPr>
          <w:sz w:val="22"/>
          <w:szCs w:val="22"/>
        </w:rPr>
        <w:t xml:space="preserve"> </w:t>
      </w:r>
      <w:r w:rsidRPr="00A23B82">
        <w:rPr>
          <w:sz w:val="22"/>
          <w:szCs w:val="22"/>
        </w:rPr>
        <w:t>établissements dans la</w:t>
      </w:r>
      <w:r>
        <w:rPr>
          <w:sz w:val="22"/>
          <w:szCs w:val="22"/>
        </w:rPr>
        <w:t xml:space="preserve"> </w:t>
      </w:r>
      <w:r w:rsidRPr="00A23B82">
        <w:rPr>
          <w:sz w:val="22"/>
          <w:szCs w:val="22"/>
        </w:rPr>
        <w:t>production de ressources accessibles et la</w:t>
      </w:r>
      <w:r>
        <w:rPr>
          <w:sz w:val="22"/>
          <w:szCs w:val="22"/>
        </w:rPr>
        <w:t xml:space="preserve"> </w:t>
      </w:r>
      <w:r w:rsidRPr="00A23B82">
        <w:rPr>
          <w:sz w:val="22"/>
          <w:szCs w:val="22"/>
        </w:rPr>
        <w:t xml:space="preserve">sensibilisation des personnels aux enjeux </w:t>
      </w:r>
      <w:r>
        <w:rPr>
          <w:sz w:val="22"/>
          <w:szCs w:val="22"/>
        </w:rPr>
        <w:t>l’</w:t>
      </w:r>
      <w:r w:rsidRPr="00A23B82">
        <w:rPr>
          <w:sz w:val="22"/>
          <w:szCs w:val="22"/>
        </w:rPr>
        <w:t>accessibilité et d</w:t>
      </w:r>
      <w:r>
        <w:rPr>
          <w:sz w:val="22"/>
          <w:szCs w:val="22"/>
        </w:rPr>
        <w:t>e l’</w:t>
      </w:r>
      <w:r w:rsidRPr="00A23B82">
        <w:rPr>
          <w:sz w:val="22"/>
          <w:szCs w:val="22"/>
        </w:rPr>
        <w:t>inclusion.</w:t>
      </w:r>
    </w:p>
    <w:p w:rsidR="00A23B82" w:rsidRPr="00A23B82" w:rsidRDefault="00A23B82" w:rsidP="00A23B82">
      <w:pPr>
        <w:rPr>
          <w:sz w:val="22"/>
          <w:szCs w:val="22"/>
        </w:rPr>
      </w:pPr>
      <w:r w:rsidRPr="00A23B82">
        <w:rPr>
          <w:sz w:val="22"/>
          <w:szCs w:val="22"/>
        </w:rPr>
        <w:lastRenderedPageBreak/>
        <w:t xml:space="preserve">Étant </w:t>
      </w:r>
      <w:r>
        <w:rPr>
          <w:sz w:val="22"/>
          <w:szCs w:val="22"/>
        </w:rPr>
        <w:t>lui</w:t>
      </w:r>
      <w:r w:rsidRPr="00A23B82">
        <w:rPr>
          <w:sz w:val="22"/>
          <w:szCs w:val="22"/>
        </w:rPr>
        <w:t>-même aveugle, l</w:t>
      </w:r>
      <w:r>
        <w:rPr>
          <w:sz w:val="22"/>
          <w:szCs w:val="22"/>
        </w:rPr>
        <w:t>’</w:t>
      </w:r>
      <w:r w:rsidRPr="00A23B82">
        <w:rPr>
          <w:sz w:val="22"/>
          <w:szCs w:val="22"/>
        </w:rPr>
        <w:t>exclusion numérique n</w:t>
      </w:r>
      <w:r>
        <w:rPr>
          <w:sz w:val="22"/>
          <w:szCs w:val="22"/>
        </w:rPr>
        <w:t>’</w:t>
      </w:r>
      <w:r w:rsidRPr="00A23B82">
        <w:rPr>
          <w:sz w:val="22"/>
          <w:szCs w:val="22"/>
        </w:rPr>
        <w:t>est pas un concept</w:t>
      </w:r>
      <w:r w:rsidR="002D5D8D">
        <w:rPr>
          <w:sz w:val="22"/>
          <w:szCs w:val="22"/>
        </w:rPr>
        <w:t xml:space="preserve"> </w:t>
      </w:r>
      <w:r w:rsidRPr="00A23B82">
        <w:rPr>
          <w:sz w:val="22"/>
          <w:szCs w:val="22"/>
        </w:rPr>
        <w:t>abstrait mais une dure réalité qu</w:t>
      </w:r>
      <w:r w:rsidR="002D5D8D">
        <w:rPr>
          <w:sz w:val="22"/>
          <w:szCs w:val="22"/>
        </w:rPr>
        <w:t>’il</w:t>
      </w:r>
      <w:r w:rsidRPr="00A23B82">
        <w:rPr>
          <w:sz w:val="22"/>
          <w:szCs w:val="22"/>
        </w:rPr>
        <w:t xml:space="preserve"> subi</w:t>
      </w:r>
      <w:r w:rsidR="002D5D8D">
        <w:rPr>
          <w:sz w:val="22"/>
          <w:szCs w:val="22"/>
        </w:rPr>
        <w:t>t</w:t>
      </w:r>
      <w:r w:rsidRPr="00A23B82">
        <w:rPr>
          <w:sz w:val="22"/>
          <w:szCs w:val="22"/>
        </w:rPr>
        <w:t xml:space="preserve"> quotidiennement. </w:t>
      </w:r>
      <w:r w:rsidR="002D5D8D">
        <w:rPr>
          <w:sz w:val="22"/>
          <w:szCs w:val="22"/>
        </w:rPr>
        <w:t>S</w:t>
      </w:r>
      <w:r w:rsidRPr="00A23B82">
        <w:rPr>
          <w:sz w:val="22"/>
          <w:szCs w:val="22"/>
        </w:rPr>
        <w:t>on</w:t>
      </w:r>
      <w:r w:rsidR="002D5D8D">
        <w:rPr>
          <w:sz w:val="22"/>
          <w:szCs w:val="22"/>
        </w:rPr>
        <w:t xml:space="preserve"> </w:t>
      </w:r>
      <w:r w:rsidRPr="00A23B82">
        <w:rPr>
          <w:sz w:val="22"/>
          <w:szCs w:val="22"/>
        </w:rPr>
        <w:t>engagement pour une société réellement inclusive n</w:t>
      </w:r>
      <w:r w:rsidR="002D5D8D">
        <w:rPr>
          <w:sz w:val="22"/>
          <w:szCs w:val="22"/>
        </w:rPr>
        <w:t>’</w:t>
      </w:r>
      <w:r w:rsidRPr="00A23B82">
        <w:rPr>
          <w:sz w:val="22"/>
          <w:szCs w:val="22"/>
        </w:rPr>
        <w:t>est pas un vain mot,</w:t>
      </w:r>
      <w:r w:rsidR="002D5D8D">
        <w:rPr>
          <w:sz w:val="22"/>
          <w:szCs w:val="22"/>
        </w:rPr>
        <w:t xml:space="preserve"> </w:t>
      </w:r>
      <w:r w:rsidRPr="00A23B82">
        <w:rPr>
          <w:sz w:val="22"/>
          <w:szCs w:val="22"/>
        </w:rPr>
        <w:t xml:space="preserve">il se nourrit de </w:t>
      </w:r>
      <w:r w:rsidR="002D5D8D">
        <w:rPr>
          <w:sz w:val="22"/>
          <w:szCs w:val="22"/>
        </w:rPr>
        <w:t>s</w:t>
      </w:r>
      <w:r w:rsidRPr="00A23B82">
        <w:rPr>
          <w:sz w:val="22"/>
          <w:szCs w:val="22"/>
        </w:rPr>
        <w:t>es expériences croisées qu’elles soient personnelles,</w:t>
      </w:r>
      <w:r w:rsidR="002D5D8D">
        <w:rPr>
          <w:sz w:val="22"/>
          <w:szCs w:val="22"/>
        </w:rPr>
        <w:t xml:space="preserve"> </w:t>
      </w:r>
      <w:r w:rsidRPr="00A23B82">
        <w:rPr>
          <w:sz w:val="22"/>
          <w:szCs w:val="22"/>
        </w:rPr>
        <w:t>associatives et bien sûr professionnelles.</w:t>
      </w:r>
    </w:p>
    <w:p w:rsidR="00A23B82" w:rsidRDefault="00A23B82" w:rsidP="00966500">
      <w:pPr>
        <w:rPr>
          <w:rFonts w:ascii="Segoe UI" w:hAnsi="Segoe UI" w:cs="Segoe UI"/>
          <w:sz w:val="22"/>
          <w:szCs w:val="22"/>
          <w:shd w:val="clear" w:color="auto" w:fill="FFFFFF"/>
        </w:rPr>
      </w:pPr>
    </w:p>
    <w:p w:rsidR="00A23B82" w:rsidRPr="00A23B82" w:rsidRDefault="00A23B82" w:rsidP="00A23B82">
      <w:pPr>
        <w:rPr>
          <w:b/>
          <w:bCs/>
          <w:sz w:val="22"/>
          <w:szCs w:val="22"/>
        </w:rPr>
      </w:pPr>
      <w:r w:rsidRPr="00A23B82">
        <w:rPr>
          <w:b/>
          <w:bCs/>
          <w:sz w:val="22"/>
          <w:szCs w:val="22"/>
        </w:rPr>
        <w:t>L</w:t>
      </w:r>
      <w:r w:rsidR="002D5D8D">
        <w:rPr>
          <w:b/>
          <w:bCs/>
          <w:sz w:val="22"/>
          <w:szCs w:val="22"/>
        </w:rPr>
        <w:t>’</w:t>
      </w:r>
      <w:r w:rsidRPr="00A23B82">
        <w:rPr>
          <w:b/>
          <w:bCs/>
          <w:sz w:val="22"/>
          <w:szCs w:val="22"/>
        </w:rPr>
        <w:t>accessibilité numérique comme moteur</w:t>
      </w:r>
      <w:r w:rsidR="002D5D8D">
        <w:rPr>
          <w:b/>
          <w:bCs/>
          <w:sz w:val="22"/>
          <w:szCs w:val="22"/>
        </w:rPr>
        <w:t xml:space="preserve"> d’</w:t>
      </w:r>
      <w:r w:rsidRPr="00A23B82">
        <w:rPr>
          <w:b/>
          <w:bCs/>
          <w:sz w:val="22"/>
          <w:szCs w:val="22"/>
        </w:rPr>
        <w:t>inclusion :</w:t>
      </w:r>
      <w:r w:rsidR="002D5D8D">
        <w:rPr>
          <w:b/>
          <w:bCs/>
          <w:sz w:val="22"/>
          <w:szCs w:val="22"/>
        </w:rPr>
        <w:t xml:space="preserve"> </w:t>
      </w:r>
      <w:r w:rsidRPr="00A23B82">
        <w:rPr>
          <w:b/>
          <w:bCs/>
          <w:sz w:val="22"/>
          <w:szCs w:val="22"/>
        </w:rPr>
        <w:t xml:space="preserve">Retours d’expérience du </w:t>
      </w:r>
      <w:proofErr w:type="spellStart"/>
      <w:r w:rsidRPr="00A23B82">
        <w:rPr>
          <w:b/>
          <w:bCs/>
          <w:sz w:val="22"/>
          <w:szCs w:val="22"/>
        </w:rPr>
        <w:t>DU</w:t>
      </w:r>
      <w:proofErr w:type="spellEnd"/>
      <w:r w:rsidRPr="00A23B82">
        <w:rPr>
          <w:b/>
          <w:bCs/>
          <w:sz w:val="22"/>
          <w:szCs w:val="22"/>
        </w:rPr>
        <w:t xml:space="preserve"> Référents Accessibilité</w:t>
      </w:r>
      <w:r w:rsidR="002D5D8D">
        <w:rPr>
          <w:b/>
          <w:bCs/>
          <w:sz w:val="22"/>
          <w:szCs w:val="22"/>
        </w:rPr>
        <w:t xml:space="preserve"> </w:t>
      </w:r>
      <w:r w:rsidRPr="00A23B82">
        <w:rPr>
          <w:b/>
          <w:bCs/>
          <w:sz w:val="22"/>
          <w:szCs w:val="22"/>
        </w:rPr>
        <w:t>Numérique et leviers de généralisation</w:t>
      </w:r>
    </w:p>
    <w:p w:rsidR="002D5D8D" w:rsidRDefault="002D5D8D" w:rsidP="00A23B82">
      <w:pPr>
        <w:rPr>
          <w:b/>
          <w:bCs/>
          <w:sz w:val="22"/>
          <w:szCs w:val="22"/>
        </w:rPr>
      </w:pPr>
    </w:p>
    <w:p w:rsidR="00A23B82" w:rsidRPr="002D5D8D" w:rsidRDefault="00A23B82" w:rsidP="00A23B82">
      <w:pPr>
        <w:rPr>
          <w:sz w:val="22"/>
          <w:szCs w:val="22"/>
        </w:rPr>
      </w:pPr>
      <w:r w:rsidRPr="002D5D8D">
        <w:rPr>
          <w:sz w:val="22"/>
          <w:szCs w:val="22"/>
        </w:rPr>
        <w:t>Dans l’enseignement supérieur, la plateforme pédagogique est devenue</w:t>
      </w:r>
      <w:r w:rsidR="002D5D8D">
        <w:rPr>
          <w:sz w:val="22"/>
          <w:szCs w:val="22"/>
        </w:rPr>
        <w:t xml:space="preserve"> </w:t>
      </w:r>
      <w:r w:rsidRPr="002D5D8D">
        <w:rPr>
          <w:sz w:val="22"/>
          <w:szCs w:val="22"/>
        </w:rPr>
        <w:t>l’espace central d’accès aux savoirs. Dès lors, son accessibilité n</w:t>
      </w:r>
      <w:r w:rsidR="002D5D8D">
        <w:rPr>
          <w:sz w:val="22"/>
          <w:szCs w:val="22"/>
        </w:rPr>
        <w:t>’</w:t>
      </w:r>
      <w:r w:rsidRPr="002D5D8D">
        <w:rPr>
          <w:sz w:val="22"/>
          <w:szCs w:val="22"/>
        </w:rPr>
        <w:t>est plus</w:t>
      </w:r>
      <w:r w:rsidR="002D5D8D">
        <w:rPr>
          <w:sz w:val="22"/>
          <w:szCs w:val="22"/>
        </w:rPr>
        <w:t xml:space="preserve"> </w:t>
      </w:r>
      <w:r w:rsidRPr="002D5D8D">
        <w:rPr>
          <w:sz w:val="22"/>
          <w:szCs w:val="22"/>
        </w:rPr>
        <w:t xml:space="preserve">une option, mais le socle </w:t>
      </w:r>
      <w:r w:rsidR="002D5D8D">
        <w:rPr>
          <w:sz w:val="22"/>
          <w:szCs w:val="22"/>
        </w:rPr>
        <w:t>d’</w:t>
      </w:r>
      <w:r w:rsidRPr="002D5D8D">
        <w:rPr>
          <w:sz w:val="22"/>
          <w:szCs w:val="22"/>
        </w:rPr>
        <w:t>une expérience d</w:t>
      </w:r>
      <w:r w:rsidR="002D5D8D">
        <w:rPr>
          <w:sz w:val="22"/>
          <w:szCs w:val="22"/>
        </w:rPr>
        <w:t>’</w:t>
      </w:r>
      <w:r w:rsidRPr="002D5D8D">
        <w:rPr>
          <w:sz w:val="22"/>
          <w:szCs w:val="22"/>
        </w:rPr>
        <w:t>apprentissage inclusive. Cette</w:t>
      </w:r>
      <w:r w:rsidR="002D5D8D">
        <w:rPr>
          <w:sz w:val="22"/>
          <w:szCs w:val="22"/>
        </w:rPr>
        <w:t xml:space="preserve"> </w:t>
      </w:r>
      <w:r w:rsidRPr="002D5D8D">
        <w:rPr>
          <w:sz w:val="22"/>
          <w:szCs w:val="22"/>
        </w:rPr>
        <w:t>communication analyse le retour d’expérience du Diplôme Universitaire de</w:t>
      </w:r>
      <w:r w:rsidR="002D5D8D">
        <w:rPr>
          <w:sz w:val="22"/>
          <w:szCs w:val="22"/>
        </w:rPr>
        <w:t xml:space="preserve"> </w:t>
      </w:r>
      <w:r w:rsidRPr="002D5D8D">
        <w:rPr>
          <w:sz w:val="22"/>
          <w:szCs w:val="22"/>
        </w:rPr>
        <w:t>Référent Accessibilité Numérique (DU RAN), lancé en 2023 à l’Université</w:t>
      </w:r>
      <w:r w:rsidR="002D5D8D">
        <w:rPr>
          <w:sz w:val="22"/>
          <w:szCs w:val="22"/>
        </w:rPr>
        <w:t xml:space="preserve"> </w:t>
      </w:r>
      <w:r w:rsidRPr="002D5D8D">
        <w:rPr>
          <w:sz w:val="22"/>
          <w:szCs w:val="22"/>
        </w:rPr>
        <w:t>de La Réunion. Entièrement à distance et accessible, ce dispositif a servi</w:t>
      </w:r>
      <w:r w:rsidR="002D5D8D">
        <w:rPr>
          <w:sz w:val="22"/>
          <w:szCs w:val="22"/>
        </w:rPr>
        <w:t xml:space="preserve"> </w:t>
      </w:r>
      <w:r w:rsidRPr="002D5D8D">
        <w:rPr>
          <w:sz w:val="22"/>
          <w:szCs w:val="22"/>
        </w:rPr>
        <w:t>de « laboratoire » pour</w:t>
      </w:r>
      <w:r w:rsidR="002D5D8D">
        <w:rPr>
          <w:sz w:val="22"/>
          <w:szCs w:val="22"/>
        </w:rPr>
        <w:t xml:space="preserve"> </w:t>
      </w:r>
      <w:r w:rsidRPr="002D5D8D">
        <w:rPr>
          <w:sz w:val="22"/>
          <w:szCs w:val="22"/>
        </w:rPr>
        <w:t>optimiser l’usage de Moodle, référence open-source de la communauté éducative.</w:t>
      </w:r>
    </w:p>
    <w:p w:rsidR="00A23B82" w:rsidRPr="002D5D8D" w:rsidRDefault="00A23B82" w:rsidP="00A23B82">
      <w:pPr>
        <w:rPr>
          <w:sz w:val="22"/>
          <w:szCs w:val="22"/>
        </w:rPr>
      </w:pPr>
      <w:r w:rsidRPr="002D5D8D">
        <w:rPr>
          <w:sz w:val="22"/>
          <w:szCs w:val="22"/>
        </w:rPr>
        <w:t>Le succès de ce projet repose sur une approche transversale et</w:t>
      </w:r>
      <w:r w:rsidR="002D5D8D">
        <w:rPr>
          <w:sz w:val="22"/>
          <w:szCs w:val="22"/>
        </w:rPr>
        <w:t xml:space="preserve"> </w:t>
      </w:r>
      <w:r w:rsidRPr="002D5D8D">
        <w:rPr>
          <w:sz w:val="22"/>
          <w:szCs w:val="22"/>
        </w:rPr>
        <w:t>multidisciplinaire, mobilisant ingénierie pédagogique, expertise technique</w:t>
      </w:r>
      <w:r w:rsidR="002D5D8D">
        <w:rPr>
          <w:sz w:val="22"/>
          <w:szCs w:val="22"/>
        </w:rPr>
        <w:t xml:space="preserve"> </w:t>
      </w:r>
      <w:r w:rsidRPr="002D5D8D">
        <w:rPr>
          <w:sz w:val="22"/>
          <w:szCs w:val="22"/>
        </w:rPr>
        <w:t>et retours d</w:t>
      </w:r>
      <w:r w:rsidR="002D5D8D" w:rsidRPr="002D5D8D">
        <w:rPr>
          <w:sz w:val="22"/>
          <w:szCs w:val="22"/>
        </w:rPr>
        <w:t>’</w:t>
      </w:r>
      <w:r w:rsidRPr="002D5D8D">
        <w:rPr>
          <w:sz w:val="22"/>
          <w:szCs w:val="22"/>
        </w:rPr>
        <w:t>usagers en situation de handicap. Nos travaux démontrent</w:t>
      </w:r>
      <w:r w:rsidR="002D5D8D">
        <w:rPr>
          <w:sz w:val="22"/>
          <w:szCs w:val="22"/>
        </w:rPr>
        <w:t xml:space="preserve"> </w:t>
      </w:r>
      <w:r w:rsidRPr="002D5D8D">
        <w:rPr>
          <w:sz w:val="22"/>
          <w:szCs w:val="22"/>
        </w:rPr>
        <w:t>que l’accessibilité, prérequis indispensable à l’inclusion, doit dépasser la</w:t>
      </w:r>
      <w:r w:rsidR="002D5D8D">
        <w:rPr>
          <w:sz w:val="22"/>
          <w:szCs w:val="22"/>
        </w:rPr>
        <w:t xml:space="preserve"> </w:t>
      </w:r>
      <w:r w:rsidRPr="002D5D8D">
        <w:rPr>
          <w:sz w:val="22"/>
          <w:szCs w:val="22"/>
        </w:rPr>
        <w:t>simple conformité technique pour viser une utilisabilité réelle.</w:t>
      </w:r>
    </w:p>
    <w:p w:rsidR="00A23B82" w:rsidRPr="002D5D8D" w:rsidRDefault="00A23B82" w:rsidP="00A23B82">
      <w:pPr>
        <w:rPr>
          <w:sz w:val="22"/>
          <w:szCs w:val="22"/>
        </w:rPr>
      </w:pPr>
      <w:r w:rsidRPr="002D5D8D">
        <w:rPr>
          <w:sz w:val="22"/>
          <w:szCs w:val="22"/>
        </w:rPr>
        <w:t>Pour passer de l</w:t>
      </w:r>
      <w:r w:rsidR="002D5D8D" w:rsidRPr="002D5D8D">
        <w:rPr>
          <w:sz w:val="22"/>
          <w:szCs w:val="22"/>
        </w:rPr>
        <w:t>’</w:t>
      </w:r>
      <w:r w:rsidRPr="002D5D8D">
        <w:rPr>
          <w:sz w:val="22"/>
          <w:szCs w:val="22"/>
        </w:rPr>
        <w:t>expérimentation à une généralisation systémique dans</w:t>
      </w:r>
      <w:r w:rsidR="002D5D8D">
        <w:rPr>
          <w:sz w:val="22"/>
          <w:szCs w:val="22"/>
        </w:rPr>
        <w:t xml:space="preserve"> </w:t>
      </w:r>
      <w:r w:rsidRPr="002D5D8D">
        <w:rPr>
          <w:sz w:val="22"/>
          <w:szCs w:val="22"/>
        </w:rPr>
        <w:t>l’enseignement supérieur, nous préconisons trois leviers majeurs :</w:t>
      </w:r>
    </w:p>
    <w:p w:rsidR="00A23B82" w:rsidRPr="002D5D8D" w:rsidRDefault="00A23B82" w:rsidP="00A23B82">
      <w:pPr>
        <w:rPr>
          <w:sz w:val="22"/>
          <w:szCs w:val="22"/>
        </w:rPr>
      </w:pPr>
      <w:r w:rsidRPr="002D5D8D">
        <w:rPr>
          <w:sz w:val="22"/>
          <w:szCs w:val="22"/>
        </w:rPr>
        <w:t>1. L’institutionnalisation d</w:t>
      </w:r>
      <w:r w:rsidR="002D5D8D" w:rsidRPr="002D5D8D">
        <w:rPr>
          <w:sz w:val="22"/>
          <w:szCs w:val="22"/>
        </w:rPr>
        <w:t>’</w:t>
      </w:r>
      <w:r w:rsidRPr="002D5D8D">
        <w:rPr>
          <w:sz w:val="22"/>
          <w:szCs w:val="22"/>
        </w:rPr>
        <w:t>équipes mixtes associant pédagogie et</w:t>
      </w:r>
      <w:r w:rsidR="002D5D8D">
        <w:rPr>
          <w:sz w:val="22"/>
          <w:szCs w:val="22"/>
        </w:rPr>
        <w:t xml:space="preserve"> </w:t>
      </w:r>
      <w:r w:rsidRPr="002D5D8D">
        <w:rPr>
          <w:sz w:val="22"/>
          <w:szCs w:val="22"/>
        </w:rPr>
        <w:t>technique, formées à l’accessibilité numérique.</w:t>
      </w:r>
    </w:p>
    <w:p w:rsidR="00A23B82" w:rsidRPr="002D5D8D" w:rsidRDefault="00A23B82" w:rsidP="00A23B82">
      <w:pPr>
        <w:rPr>
          <w:sz w:val="22"/>
          <w:szCs w:val="22"/>
        </w:rPr>
      </w:pPr>
      <w:r w:rsidRPr="002D5D8D">
        <w:rPr>
          <w:sz w:val="22"/>
          <w:szCs w:val="22"/>
        </w:rPr>
        <w:t>2. La capitalisation sur les outils libres : Moodle étant déjà déployé</w:t>
      </w:r>
      <w:r w:rsidR="002D5D8D">
        <w:rPr>
          <w:sz w:val="22"/>
          <w:szCs w:val="22"/>
        </w:rPr>
        <w:t xml:space="preserve"> </w:t>
      </w:r>
      <w:r w:rsidRPr="002D5D8D">
        <w:rPr>
          <w:sz w:val="22"/>
          <w:szCs w:val="22"/>
        </w:rPr>
        <w:t>massivement, l’investissement doit se déplacer de l’outil vers le capital</w:t>
      </w:r>
      <w:r w:rsidR="002D5D8D" w:rsidRPr="002D5D8D">
        <w:rPr>
          <w:sz w:val="22"/>
          <w:szCs w:val="22"/>
        </w:rPr>
        <w:t xml:space="preserve"> </w:t>
      </w:r>
      <w:r w:rsidRPr="002D5D8D">
        <w:rPr>
          <w:sz w:val="22"/>
          <w:szCs w:val="22"/>
        </w:rPr>
        <w:t>humain.</w:t>
      </w:r>
    </w:p>
    <w:p w:rsidR="00A23B82" w:rsidRPr="002D5D8D" w:rsidRDefault="00A23B82" w:rsidP="00A23B82">
      <w:pPr>
        <w:rPr>
          <w:sz w:val="22"/>
          <w:szCs w:val="22"/>
        </w:rPr>
      </w:pPr>
      <w:r w:rsidRPr="002D5D8D">
        <w:rPr>
          <w:sz w:val="22"/>
          <w:szCs w:val="22"/>
        </w:rPr>
        <w:t>3. Un portage politique fort, la montée en compétence des</w:t>
      </w:r>
      <w:r w:rsidR="002D5D8D" w:rsidRPr="002D5D8D">
        <w:rPr>
          <w:sz w:val="22"/>
          <w:szCs w:val="22"/>
        </w:rPr>
        <w:t xml:space="preserve"> </w:t>
      </w:r>
      <w:r w:rsidRPr="002D5D8D">
        <w:rPr>
          <w:sz w:val="22"/>
          <w:szCs w:val="22"/>
        </w:rPr>
        <w:t>contributeurs (enseignants et formateurs) sur la production de contenus</w:t>
      </w:r>
      <w:r w:rsidR="002D5D8D" w:rsidRPr="002D5D8D">
        <w:rPr>
          <w:sz w:val="22"/>
          <w:szCs w:val="22"/>
        </w:rPr>
        <w:t xml:space="preserve"> </w:t>
      </w:r>
      <w:r w:rsidRPr="002D5D8D">
        <w:rPr>
          <w:sz w:val="22"/>
          <w:szCs w:val="22"/>
        </w:rPr>
        <w:t>pédagogiques accessibles doit devenir une priorité de</w:t>
      </w:r>
      <w:r w:rsidR="002D5D8D" w:rsidRPr="002D5D8D">
        <w:rPr>
          <w:sz w:val="22"/>
          <w:szCs w:val="22"/>
        </w:rPr>
        <w:t xml:space="preserve"> </w:t>
      </w:r>
      <w:r w:rsidRPr="002D5D8D">
        <w:rPr>
          <w:sz w:val="22"/>
          <w:szCs w:val="22"/>
        </w:rPr>
        <w:t>nos établissements</w:t>
      </w:r>
      <w:r w:rsidR="002D5D8D" w:rsidRPr="002D5D8D">
        <w:rPr>
          <w:sz w:val="22"/>
          <w:szCs w:val="22"/>
        </w:rPr>
        <w:t xml:space="preserve"> </w:t>
      </w:r>
      <w:r w:rsidRPr="002D5D8D">
        <w:rPr>
          <w:sz w:val="22"/>
          <w:szCs w:val="22"/>
        </w:rPr>
        <w:t>et du ministère.</w:t>
      </w:r>
    </w:p>
    <w:p w:rsidR="00A23B82" w:rsidRPr="002D5D8D" w:rsidRDefault="00A23B82" w:rsidP="00A23B82">
      <w:pPr>
        <w:rPr>
          <w:sz w:val="22"/>
          <w:szCs w:val="22"/>
        </w:rPr>
      </w:pPr>
      <w:r w:rsidRPr="002D5D8D">
        <w:rPr>
          <w:sz w:val="22"/>
          <w:szCs w:val="22"/>
        </w:rPr>
        <w:t>En conclusion, la mutualisation des coûts de formation et le partage de</w:t>
      </w:r>
      <w:r w:rsidR="002D5D8D" w:rsidRPr="002D5D8D">
        <w:rPr>
          <w:sz w:val="22"/>
          <w:szCs w:val="22"/>
        </w:rPr>
        <w:t xml:space="preserve"> </w:t>
      </w:r>
      <w:r w:rsidRPr="002D5D8D">
        <w:rPr>
          <w:sz w:val="22"/>
          <w:szCs w:val="22"/>
        </w:rPr>
        <w:t>guides en licence libre permettraient de transformer ces bonnes pratiques</w:t>
      </w:r>
      <w:r w:rsidR="002D5D8D" w:rsidRPr="002D5D8D">
        <w:rPr>
          <w:sz w:val="22"/>
          <w:szCs w:val="22"/>
        </w:rPr>
        <w:t xml:space="preserve"> </w:t>
      </w:r>
      <w:r w:rsidRPr="002D5D8D">
        <w:rPr>
          <w:sz w:val="22"/>
          <w:szCs w:val="22"/>
        </w:rPr>
        <w:t>isolées en les généralisant à l’enseignement supérieur.</w:t>
      </w:r>
    </w:p>
    <w:p w:rsidR="00A23B82" w:rsidRPr="002D5D8D" w:rsidRDefault="00A23B82" w:rsidP="00A23B82">
      <w:pPr>
        <w:rPr>
          <w:sz w:val="22"/>
          <w:szCs w:val="22"/>
        </w:rPr>
      </w:pPr>
      <w:r w:rsidRPr="002D5D8D">
        <w:rPr>
          <w:sz w:val="22"/>
          <w:szCs w:val="22"/>
        </w:rPr>
        <w:t>Cette démarche prouve que l’accessibilité numérique, loin d</w:t>
      </w:r>
      <w:r w:rsidR="002D5D8D" w:rsidRPr="002D5D8D">
        <w:rPr>
          <w:sz w:val="22"/>
          <w:szCs w:val="22"/>
        </w:rPr>
        <w:t>’</w:t>
      </w:r>
      <w:r w:rsidRPr="002D5D8D">
        <w:rPr>
          <w:sz w:val="22"/>
          <w:szCs w:val="22"/>
        </w:rPr>
        <w:t>être un coût</w:t>
      </w:r>
      <w:r w:rsidR="002D5D8D" w:rsidRPr="002D5D8D">
        <w:rPr>
          <w:sz w:val="22"/>
          <w:szCs w:val="22"/>
        </w:rPr>
        <w:t xml:space="preserve"> </w:t>
      </w:r>
      <w:r w:rsidRPr="002D5D8D">
        <w:rPr>
          <w:sz w:val="22"/>
          <w:szCs w:val="22"/>
        </w:rPr>
        <w:t>prohibitif, est un levier d</w:t>
      </w:r>
      <w:r w:rsidR="002D5D8D" w:rsidRPr="002D5D8D">
        <w:rPr>
          <w:sz w:val="22"/>
          <w:szCs w:val="22"/>
        </w:rPr>
        <w:t>’</w:t>
      </w:r>
      <w:r w:rsidRPr="002D5D8D">
        <w:rPr>
          <w:sz w:val="22"/>
          <w:szCs w:val="22"/>
        </w:rPr>
        <w:t>innovation pour la qualité globale de la formation</w:t>
      </w:r>
      <w:r w:rsidR="002D5D8D" w:rsidRPr="002D5D8D">
        <w:rPr>
          <w:sz w:val="22"/>
          <w:szCs w:val="22"/>
        </w:rPr>
        <w:t xml:space="preserve"> </w:t>
      </w:r>
      <w:r w:rsidRPr="002D5D8D">
        <w:rPr>
          <w:sz w:val="22"/>
          <w:szCs w:val="22"/>
        </w:rPr>
        <w:t>à distance.</w:t>
      </w:r>
    </w:p>
    <w:p w:rsidR="00A23B82" w:rsidRPr="002D5D8D" w:rsidRDefault="00A23B82" w:rsidP="00A23B82">
      <w:pPr>
        <w:rPr>
          <w:sz w:val="22"/>
          <w:szCs w:val="22"/>
        </w:rPr>
      </w:pPr>
    </w:p>
    <w:p w:rsidR="00966500" w:rsidRPr="00E90641" w:rsidRDefault="00966500" w:rsidP="00966500">
      <w:pPr>
        <w:rPr>
          <w:sz w:val="22"/>
          <w:szCs w:val="22"/>
        </w:rPr>
      </w:pPr>
    </w:p>
    <w:sectPr w:rsidR="00966500" w:rsidRPr="00E906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MR10">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F7112"/>
    <w:multiLevelType w:val="hybridMultilevel"/>
    <w:tmpl w:val="6E46DD3C"/>
    <w:lvl w:ilvl="0" w:tplc="1A0237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2D34B17"/>
    <w:multiLevelType w:val="hybridMultilevel"/>
    <w:tmpl w:val="EF1EEAC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5026225">
    <w:abstractNumId w:val="0"/>
  </w:num>
  <w:num w:numId="2" w16cid:durableId="929239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3"/>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00"/>
    <w:rsid w:val="000E5836"/>
    <w:rsid w:val="00125DAC"/>
    <w:rsid w:val="00142FE2"/>
    <w:rsid w:val="00204336"/>
    <w:rsid w:val="002542F9"/>
    <w:rsid w:val="002C4CA3"/>
    <w:rsid w:val="002D544F"/>
    <w:rsid w:val="002D5D8D"/>
    <w:rsid w:val="003F0721"/>
    <w:rsid w:val="004D7ACA"/>
    <w:rsid w:val="004F0ADC"/>
    <w:rsid w:val="005A03BD"/>
    <w:rsid w:val="005B3300"/>
    <w:rsid w:val="005F02B4"/>
    <w:rsid w:val="006667BE"/>
    <w:rsid w:val="00785D2B"/>
    <w:rsid w:val="008F1B84"/>
    <w:rsid w:val="00937A94"/>
    <w:rsid w:val="00966500"/>
    <w:rsid w:val="00992BD9"/>
    <w:rsid w:val="009D73B4"/>
    <w:rsid w:val="00A06F17"/>
    <w:rsid w:val="00A23B82"/>
    <w:rsid w:val="00C56C44"/>
    <w:rsid w:val="00E90641"/>
    <w:rsid w:val="00EB4702"/>
    <w:rsid w:val="00F84CBE"/>
    <w:rsid w:val="00FC0A58"/>
    <w:rsid w:val="00FE7F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C728D"/>
  <w15:chartTrackingRefBased/>
  <w15:docId w15:val="{A6789F74-1F51-2A48-B33F-EEC5F22A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unhideWhenUsed/>
    <w:qFormat/>
    <w:rsid w:val="00C56C44"/>
    <w:pPr>
      <w:keepNext/>
      <w:keepLines/>
      <w:spacing w:before="40" w:line="259" w:lineRule="auto"/>
      <w:outlineLvl w:val="1"/>
    </w:pPr>
    <w:rPr>
      <w:rFonts w:asciiTheme="majorHAnsi" w:eastAsiaTheme="majorEastAsia" w:hAnsiTheme="majorHAnsi" w:cstheme="majorBidi"/>
      <w:color w:val="2F5496" w:themeColor="accent1" w:themeShade="BF"/>
      <w:kern w:val="0"/>
      <w:sz w:val="26"/>
      <w:szCs w:val="26"/>
      <w:lang w:eastAsia="en-US"/>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56C44"/>
    <w:rPr>
      <w:rFonts w:asciiTheme="majorHAnsi" w:eastAsiaTheme="majorEastAsia" w:hAnsiTheme="majorHAnsi" w:cstheme="majorBidi"/>
      <w:color w:val="2F5496" w:themeColor="accent1" w:themeShade="BF"/>
      <w:kern w:val="0"/>
      <w:sz w:val="26"/>
      <w:szCs w:val="26"/>
      <w:lang w:eastAsia="en-US"/>
      <w14:ligatures w14:val="none"/>
    </w:rPr>
  </w:style>
  <w:style w:type="character" w:styleId="Lienhypertexte">
    <w:name w:val="Hyperlink"/>
    <w:basedOn w:val="Policepardfaut"/>
    <w:uiPriority w:val="99"/>
    <w:unhideWhenUsed/>
    <w:rsid w:val="00C56C44"/>
    <w:rPr>
      <w:color w:val="0000FF"/>
      <w:u w:val="single"/>
    </w:rPr>
  </w:style>
  <w:style w:type="paragraph" w:styleId="Paragraphedeliste">
    <w:name w:val="List Paragraph"/>
    <w:basedOn w:val="Normal"/>
    <w:uiPriority w:val="34"/>
    <w:qFormat/>
    <w:rsid w:val="00C56C44"/>
    <w:pPr>
      <w:spacing w:after="160" w:line="259" w:lineRule="auto"/>
      <w:ind w:left="720"/>
      <w:contextualSpacing/>
    </w:pPr>
    <w:rPr>
      <w:kern w:val="0"/>
      <w:sz w:val="22"/>
      <w:szCs w:val="22"/>
      <w:lang w:eastAsia="en-US"/>
      <w14:ligatures w14:val="none"/>
    </w:rPr>
  </w:style>
  <w:style w:type="character" w:styleId="lev">
    <w:name w:val="Strong"/>
    <w:basedOn w:val="Policepardfaut"/>
    <w:uiPriority w:val="22"/>
    <w:qFormat/>
    <w:rsid w:val="005A03BD"/>
    <w:rPr>
      <w:b/>
      <w:bCs/>
    </w:rPr>
  </w:style>
  <w:style w:type="character" w:styleId="Accentuation">
    <w:name w:val="Emphasis"/>
    <w:basedOn w:val="Policepardfaut"/>
    <w:uiPriority w:val="20"/>
    <w:qFormat/>
    <w:rsid w:val="005A03BD"/>
    <w:rPr>
      <w:i/>
      <w:iCs/>
    </w:rPr>
  </w:style>
  <w:style w:type="character" w:customStyle="1" w:styleId="apple-converted-space">
    <w:name w:val="apple-converted-space"/>
    <w:basedOn w:val="Policepardfaut"/>
    <w:rsid w:val="006667BE"/>
  </w:style>
  <w:style w:type="paragraph" w:styleId="NormalWeb">
    <w:name w:val="Normal (Web)"/>
    <w:basedOn w:val="Normal"/>
    <w:uiPriority w:val="99"/>
    <w:unhideWhenUsed/>
    <w:rsid w:val="00FE7FB7"/>
    <w:pPr>
      <w:spacing w:before="100" w:beforeAutospacing="1" w:after="100" w:afterAutospacing="1"/>
    </w:pPr>
    <w:rPr>
      <w:rFonts w:ascii="Times New Roman" w:eastAsia="Times New Roman" w:hAnsi="Times New Roman" w:cs="Times New Roman"/>
      <w:kern w:val="0"/>
      <w14:ligatures w14:val="none"/>
    </w:rPr>
  </w:style>
  <w:style w:type="paragraph" w:customStyle="1" w:styleId="Pardfaut">
    <w:name w:val="Par défaut"/>
    <w:rsid w:val="005F02B4"/>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customStyle="1" w:styleId="Aucun">
    <w:name w:val="Aucun"/>
    <w:rsid w:val="005F02B4"/>
  </w:style>
  <w:style w:type="paragraph" w:customStyle="1" w:styleId="Corps">
    <w:name w:val="Corps"/>
    <w:rsid w:val="005F02B4"/>
    <w:pPr>
      <w:pBdr>
        <w:top w:val="nil"/>
        <w:left w:val="nil"/>
        <w:bottom w:val="nil"/>
        <w:right w:val="nil"/>
        <w:between w:val="nil"/>
        <w:bar w:val="nil"/>
      </w:pBdr>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 w:type="character" w:customStyle="1" w:styleId="name">
    <w:name w:val="name"/>
    <w:basedOn w:val="Policepardfaut"/>
    <w:rsid w:val="004D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72271">
      <w:bodyDiv w:val="1"/>
      <w:marLeft w:val="0"/>
      <w:marRight w:val="0"/>
      <w:marTop w:val="0"/>
      <w:marBottom w:val="0"/>
      <w:divBdr>
        <w:top w:val="none" w:sz="0" w:space="0" w:color="auto"/>
        <w:left w:val="none" w:sz="0" w:space="0" w:color="auto"/>
        <w:bottom w:val="none" w:sz="0" w:space="0" w:color="auto"/>
        <w:right w:val="none" w:sz="0" w:space="0" w:color="auto"/>
      </w:divBdr>
      <w:divsChild>
        <w:div w:id="75786961">
          <w:marLeft w:val="0"/>
          <w:marRight w:val="0"/>
          <w:marTop w:val="0"/>
          <w:marBottom w:val="0"/>
          <w:divBdr>
            <w:top w:val="none" w:sz="0" w:space="0" w:color="auto"/>
            <w:left w:val="none" w:sz="0" w:space="0" w:color="auto"/>
            <w:bottom w:val="none" w:sz="0" w:space="0" w:color="auto"/>
            <w:right w:val="none" w:sz="0" w:space="0" w:color="auto"/>
          </w:divBdr>
          <w:divsChild>
            <w:div w:id="1111045354">
              <w:marLeft w:val="0"/>
              <w:marRight w:val="0"/>
              <w:marTop w:val="0"/>
              <w:marBottom w:val="0"/>
              <w:divBdr>
                <w:top w:val="none" w:sz="0" w:space="0" w:color="auto"/>
                <w:left w:val="none" w:sz="0" w:space="0" w:color="auto"/>
                <w:bottom w:val="none" w:sz="0" w:space="0" w:color="auto"/>
                <w:right w:val="none" w:sz="0" w:space="0" w:color="auto"/>
              </w:divBdr>
              <w:divsChild>
                <w:div w:id="4427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6309">
      <w:bodyDiv w:val="1"/>
      <w:marLeft w:val="0"/>
      <w:marRight w:val="0"/>
      <w:marTop w:val="0"/>
      <w:marBottom w:val="0"/>
      <w:divBdr>
        <w:top w:val="none" w:sz="0" w:space="0" w:color="auto"/>
        <w:left w:val="none" w:sz="0" w:space="0" w:color="auto"/>
        <w:bottom w:val="none" w:sz="0" w:space="0" w:color="auto"/>
        <w:right w:val="none" w:sz="0" w:space="0" w:color="auto"/>
      </w:divBdr>
      <w:divsChild>
        <w:div w:id="833180463">
          <w:marLeft w:val="0"/>
          <w:marRight w:val="0"/>
          <w:marTop w:val="0"/>
          <w:marBottom w:val="0"/>
          <w:divBdr>
            <w:top w:val="none" w:sz="0" w:space="0" w:color="auto"/>
            <w:left w:val="none" w:sz="0" w:space="0" w:color="auto"/>
            <w:bottom w:val="none" w:sz="0" w:space="0" w:color="auto"/>
            <w:right w:val="none" w:sz="0" w:space="0" w:color="auto"/>
          </w:divBdr>
        </w:div>
        <w:div w:id="1159268086">
          <w:marLeft w:val="0"/>
          <w:marRight w:val="0"/>
          <w:marTop w:val="0"/>
          <w:marBottom w:val="0"/>
          <w:divBdr>
            <w:top w:val="none" w:sz="0" w:space="0" w:color="auto"/>
            <w:left w:val="none" w:sz="0" w:space="0" w:color="auto"/>
            <w:bottom w:val="none" w:sz="0" w:space="0" w:color="auto"/>
            <w:right w:val="none" w:sz="0" w:space="0" w:color="auto"/>
          </w:divBdr>
        </w:div>
        <w:div w:id="664629574">
          <w:marLeft w:val="0"/>
          <w:marRight w:val="0"/>
          <w:marTop w:val="0"/>
          <w:marBottom w:val="0"/>
          <w:divBdr>
            <w:top w:val="none" w:sz="0" w:space="0" w:color="auto"/>
            <w:left w:val="none" w:sz="0" w:space="0" w:color="auto"/>
            <w:bottom w:val="none" w:sz="0" w:space="0" w:color="auto"/>
            <w:right w:val="none" w:sz="0" w:space="0" w:color="auto"/>
          </w:divBdr>
        </w:div>
        <w:div w:id="841311614">
          <w:marLeft w:val="0"/>
          <w:marRight w:val="0"/>
          <w:marTop w:val="0"/>
          <w:marBottom w:val="0"/>
          <w:divBdr>
            <w:top w:val="none" w:sz="0" w:space="0" w:color="auto"/>
            <w:left w:val="none" w:sz="0" w:space="0" w:color="auto"/>
            <w:bottom w:val="none" w:sz="0" w:space="0" w:color="auto"/>
            <w:right w:val="none" w:sz="0" w:space="0" w:color="auto"/>
          </w:divBdr>
        </w:div>
        <w:div w:id="924190777">
          <w:marLeft w:val="0"/>
          <w:marRight w:val="0"/>
          <w:marTop w:val="0"/>
          <w:marBottom w:val="0"/>
          <w:divBdr>
            <w:top w:val="none" w:sz="0" w:space="0" w:color="auto"/>
            <w:left w:val="none" w:sz="0" w:space="0" w:color="auto"/>
            <w:bottom w:val="none" w:sz="0" w:space="0" w:color="auto"/>
            <w:right w:val="none" w:sz="0" w:space="0" w:color="auto"/>
          </w:divBdr>
        </w:div>
      </w:divsChild>
    </w:div>
    <w:div w:id="581642394">
      <w:bodyDiv w:val="1"/>
      <w:marLeft w:val="0"/>
      <w:marRight w:val="0"/>
      <w:marTop w:val="0"/>
      <w:marBottom w:val="0"/>
      <w:divBdr>
        <w:top w:val="none" w:sz="0" w:space="0" w:color="auto"/>
        <w:left w:val="none" w:sz="0" w:space="0" w:color="auto"/>
        <w:bottom w:val="none" w:sz="0" w:space="0" w:color="auto"/>
        <w:right w:val="none" w:sz="0" w:space="0" w:color="auto"/>
      </w:divBdr>
      <w:divsChild>
        <w:div w:id="1855874726">
          <w:marLeft w:val="0"/>
          <w:marRight w:val="0"/>
          <w:marTop w:val="0"/>
          <w:marBottom w:val="0"/>
          <w:divBdr>
            <w:top w:val="none" w:sz="0" w:space="0" w:color="auto"/>
            <w:left w:val="none" w:sz="0" w:space="0" w:color="auto"/>
            <w:bottom w:val="none" w:sz="0" w:space="0" w:color="auto"/>
            <w:right w:val="none" w:sz="0" w:space="0" w:color="auto"/>
          </w:divBdr>
          <w:divsChild>
            <w:div w:id="1042285891">
              <w:marLeft w:val="0"/>
              <w:marRight w:val="0"/>
              <w:marTop w:val="0"/>
              <w:marBottom w:val="0"/>
              <w:divBdr>
                <w:top w:val="none" w:sz="0" w:space="0" w:color="auto"/>
                <w:left w:val="none" w:sz="0" w:space="0" w:color="auto"/>
                <w:bottom w:val="none" w:sz="0" w:space="0" w:color="auto"/>
                <w:right w:val="none" w:sz="0" w:space="0" w:color="auto"/>
              </w:divBdr>
              <w:divsChild>
                <w:div w:id="150320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540490">
      <w:bodyDiv w:val="1"/>
      <w:marLeft w:val="0"/>
      <w:marRight w:val="0"/>
      <w:marTop w:val="0"/>
      <w:marBottom w:val="0"/>
      <w:divBdr>
        <w:top w:val="none" w:sz="0" w:space="0" w:color="auto"/>
        <w:left w:val="none" w:sz="0" w:space="0" w:color="auto"/>
        <w:bottom w:val="none" w:sz="0" w:space="0" w:color="auto"/>
        <w:right w:val="none" w:sz="0" w:space="0" w:color="auto"/>
      </w:divBdr>
      <w:divsChild>
        <w:div w:id="207108081">
          <w:marLeft w:val="300"/>
          <w:marRight w:val="0"/>
          <w:marTop w:val="0"/>
          <w:marBottom w:val="0"/>
          <w:divBdr>
            <w:top w:val="none" w:sz="0" w:space="0" w:color="auto"/>
            <w:left w:val="none" w:sz="0" w:space="0" w:color="auto"/>
            <w:bottom w:val="none" w:sz="0" w:space="0" w:color="auto"/>
            <w:right w:val="none" w:sz="0" w:space="0" w:color="auto"/>
          </w:divBdr>
        </w:div>
      </w:divsChild>
    </w:div>
    <w:div w:id="897471696">
      <w:bodyDiv w:val="1"/>
      <w:marLeft w:val="0"/>
      <w:marRight w:val="0"/>
      <w:marTop w:val="0"/>
      <w:marBottom w:val="0"/>
      <w:divBdr>
        <w:top w:val="none" w:sz="0" w:space="0" w:color="auto"/>
        <w:left w:val="none" w:sz="0" w:space="0" w:color="auto"/>
        <w:bottom w:val="none" w:sz="0" w:space="0" w:color="auto"/>
        <w:right w:val="none" w:sz="0" w:space="0" w:color="auto"/>
      </w:divBdr>
      <w:divsChild>
        <w:div w:id="93598615">
          <w:marLeft w:val="0"/>
          <w:marRight w:val="0"/>
          <w:marTop w:val="0"/>
          <w:marBottom w:val="0"/>
          <w:divBdr>
            <w:top w:val="none" w:sz="0" w:space="0" w:color="auto"/>
            <w:left w:val="none" w:sz="0" w:space="0" w:color="auto"/>
            <w:bottom w:val="none" w:sz="0" w:space="0" w:color="auto"/>
            <w:right w:val="none" w:sz="0" w:space="0" w:color="auto"/>
          </w:divBdr>
          <w:divsChild>
            <w:div w:id="1564834971">
              <w:marLeft w:val="0"/>
              <w:marRight w:val="0"/>
              <w:marTop w:val="0"/>
              <w:marBottom w:val="0"/>
              <w:divBdr>
                <w:top w:val="none" w:sz="0" w:space="0" w:color="auto"/>
                <w:left w:val="none" w:sz="0" w:space="0" w:color="auto"/>
                <w:bottom w:val="none" w:sz="0" w:space="0" w:color="auto"/>
                <w:right w:val="none" w:sz="0" w:space="0" w:color="auto"/>
              </w:divBdr>
              <w:divsChild>
                <w:div w:id="2087650225">
                  <w:marLeft w:val="0"/>
                  <w:marRight w:val="0"/>
                  <w:marTop w:val="0"/>
                  <w:marBottom w:val="0"/>
                  <w:divBdr>
                    <w:top w:val="none" w:sz="0" w:space="0" w:color="auto"/>
                    <w:left w:val="none" w:sz="0" w:space="0" w:color="auto"/>
                    <w:bottom w:val="none" w:sz="0" w:space="0" w:color="auto"/>
                    <w:right w:val="none" w:sz="0" w:space="0" w:color="auto"/>
                  </w:divBdr>
                  <w:divsChild>
                    <w:div w:id="1958364682">
                      <w:marLeft w:val="0"/>
                      <w:marRight w:val="0"/>
                      <w:marTop w:val="0"/>
                      <w:marBottom w:val="0"/>
                      <w:divBdr>
                        <w:top w:val="none" w:sz="0" w:space="0" w:color="auto"/>
                        <w:left w:val="none" w:sz="0" w:space="0" w:color="auto"/>
                        <w:bottom w:val="none" w:sz="0" w:space="0" w:color="auto"/>
                        <w:right w:val="none" w:sz="0" w:space="0" w:color="auto"/>
                      </w:divBdr>
                    </w:div>
                  </w:divsChild>
                </w:div>
                <w:div w:id="1598559816">
                  <w:marLeft w:val="0"/>
                  <w:marRight w:val="0"/>
                  <w:marTop w:val="0"/>
                  <w:marBottom w:val="0"/>
                  <w:divBdr>
                    <w:top w:val="none" w:sz="0" w:space="0" w:color="auto"/>
                    <w:left w:val="none" w:sz="0" w:space="0" w:color="auto"/>
                    <w:bottom w:val="none" w:sz="0" w:space="0" w:color="auto"/>
                    <w:right w:val="none" w:sz="0" w:space="0" w:color="auto"/>
                  </w:divBdr>
                  <w:divsChild>
                    <w:div w:id="437335226">
                      <w:marLeft w:val="0"/>
                      <w:marRight w:val="0"/>
                      <w:marTop w:val="0"/>
                      <w:marBottom w:val="0"/>
                      <w:divBdr>
                        <w:top w:val="none" w:sz="0" w:space="0" w:color="auto"/>
                        <w:left w:val="none" w:sz="0" w:space="0" w:color="auto"/>
                        <w:bottom w:val="none" w:sz="0" w:space="0" w:color="auto"/>
                        <w:right w:val="none" w:sz="0" w:space="0" w:color="auto"/>
                      </w:divBdr>
                    </w:div>
                  </w:divsChild>
                </w:div>
                <w:div w:id="234094980">
                  <w:marLeft w:val="0"/>
                  <w:marRight w:val="0"/>
                  <w:marTop w:val="0"/>
                  <w:marBottom w:val="0"/>
                  <w:divBdr>
                    <w:top w:val="none" w:sz="0" w:space="0" w:color="auto"/>
                    <w:left w:val="none" w:sz="0" w:space="0" w:color="auto"/>
                    <w:bottom w:val="none" w:sz="0" w:space="0" w:color="auto"/>
                    <w:right w:val="none" w:sz="0" w:space="0" w:color="auto"/>
                  </w:divBdr>
                  <w:divsChild>
                    <w:div w:id="1404840586">
                      <w:marLeft w:val="0"/>
                      <w:marRight w:val="0"/>
                      <w:marTop w:val="0"/>
                      <w:marBottom w:val="0"/>
                      <w:divBdr>
                        <w:top w:val="none" w:sz="0" w:space="0" w:color="auto"/>
                        <w:left w:val="none" w:sz="0" w:space="0" w:color="auto"/>
                        <w:bottom w:val="none" w:sz="0" w:space="0" w:color="auto"/>
                        <w:right w:val="none" w:sz="0" w:space="0" w:color="auto"/>
                      </w:divBdr>
                    </w:div>
                  </w:divsChild>
                </w:div>
                <w:div w:id="1879316830">
                  <w:marLeft w:val="0"/>
                  <w:marRight w:val="0"/>
                  <w:marTop w:val="0"/>
                  <w:marBottom w:val="0"/>
                  <w:divBdr>
                    <w:top w:val="none" w:sz="0" w:space="0" w:color="auto"/>
                    <w:left w:val="none" w:sz="0" w:space="0" w:color="auto"/>
                    <w:bottom w:val="none" w:sz="0" w:space="0" w:color="auto"/>
                    <w:right w:val="none" w:sz="0" w:space="0" w:color="auto"/>
                  </w:divBdr>
                  <w:divsChild>
                    <w:div w:id="967854341">
                      <w:marLeft w:val="0"/>
                      <w:marRight w:val="0"/>
                      <w:marTop w:val="0"/>
                      <w:marBottom w:val="0"/>
                      <w:divBdr>
                        <w:top w:val="none" w:sz="0" w:space="0" w:color="auto"/>
                        <w:left w:val="none" w:sz="0" w:space="0" w:color="auto"/>
                        <w:bottom w:val="none" w:sz="0" w:space="0" w:color="auto"/>
                        <w:right w:val="none" w:sz="0" w:space="0" w:color="auto"/>
                      </w:divBdr>
                    </w:div>
                  </w:divsChild>
                </w:div>
                <w:div w:id="1288202497">
                  <w:marLeft w:val="0"/>
                  <w:marRight w:val="0"/>
                  <w:marTop w:val="0"/>
                  <w:marBottom w:val="0"/>
                  <w:divBdr>
                    <w:top w:val="none" w:sz="0" w:space="0" w:color="auto"/>
                    <w:left w:val="none" w:sz="0" w:space="0" w:color="auto"/>
                    <w:bottom w:val="none" w:sz="0" w:space="0" w:color="auto"/>
                    <w:right w:val="none" w:sz="0" w:space="0" w:color="auto"/>
                  </w:divBdr>
                  <w:divsChild>
                    <w:div w:id="916984545">
                      <w:marLeft w:val="0"/>
                      <w:marRight w:val="0"/>
                      <w:marTop w:val="0"/>
                      <w:marBottom w:val="0"/>
                      <w:divBdr>
                        <w:top w:val="none" w:sz="0" w:space="0" w:color="auto"/>
                        <w:left w:val="none" w:sz="0" w:space="0" w:color="auto"/>
                        <w:bottom w:val="none" w:sz="0" w:space="0" w:color="auto"/>
                        <w:right w:val="none" w:sz="0" w:space="0" w:color="auto"/>
                      </w:divBdr>
                    </w:div>
                  </w:divsChild>
                </w:div>
                <w:div w:id="12852431">
                  <w:marLeft w:val="0"/>
                  <w:marRight w:val="0"/>
                  <w:marTop w:val="0"/>
                  <w:marBottom w:val="0"/>
                  <w:divBdr>
                    <w:top w:val="none" w:sz="0" w:space="0" w:color="auto"/>
                    <w:left w:val="none" w:sz="0" w:space="0" w:color="auto"/>
                    <w:bottom w:val="none" w:sz="0" w:space="0" w:color="auto"/>
                    <w:right w:val="none" w:sz="0" w:space="0" w:color="auto"/>
                  </w:divBdr>
                  <w:divsChild>
                    <w:div w:id="1823616056">
                      <w:marLeft w:val="0"/>
                      <w:marRight w:val="0"/>
                      <w:marTop w:val="0"/>
                      <w:marBottom w:val="0"/>
                      <w:divBdr>
                        <w:top w:val="none" w:sz="0" w:space="0" w:color="auto"/>
                        <w:left w:val="none" w:sz="0" w:space="0" w:color="auto"/>
                        <w:bottom w:val="none" w:sz="0" w:space="0" w:color="auto"/>
                        <w:right w:val="none" w:sz="0" w:space="0" w:color="auto"/>
                      </w:divBdr>
                    </w:div>
                  </w:divsChild>
                </w:div>
                <w:div w:id="33821344">
                  <w:marLeft w:val="0"/>
                  <w:marRight w:val="0"/>
                  <w:marTop w:val="0"/>
                  <w:marBottom w:val="0"/>
                  <w:divBdr>
                    <w:top w:val="none" w:sz="0" w:space="0" w:color="auto"/>
                    <w:left w:val="none" w:sz="0" w:space="0" w:color="auto"/>
                    <w:bottom w:val="none" w:sz="0" w:space="0" w:color="auto"/>
                    <w:right w:val="none" w:sz="0" w:space="0" w:color="auto"/>
                  </w:divBdr>
                  <w:divsChild>
                    <w:div w:id="838230733">
                      <w:marLeft w:val="0"/>
                      <w:marRight w:val="0"/>
                      <w:marTop w:val="0"/>
                      <w:marBottom w:val="0"/>
                      <w:divBdr>
                        <w:top w:val="none" w:sz="0" w:space="0" w:color="auto"/>
                        <w:left w:val="none" w:sz="0" w:space="0" w:color="auto"/>
                        <w:bottom w:val="none" w:sz="0" w:space="0" w:color="auto"/>
                        <w:right w:val="none" w:sz="0" w:space="0" w:color="auto"/>
                      </w:divBdr>
                    </w:div>
                  </w:divsChild>
                </w:div>
                <w:div w:id="982583953">
                  <w:marLeft w:val="0"/>
                  <w:marRight w:val="0"/>
                  <w:marTop w:val="0"/>
                  <w:marBottom w:val="0"/>
                  <w:divBdr>
                    <w:top w:val="none" w:sz="0" w:space="0" w:color="auto"/>
                    <w:left w:val="none" w:sz="0" w:space="0" w:color="auto"/>
                    <w:bottom w:val="none" w:sz="0" w:space="0" w:color="auto"/>
                    <w:right w:val="none" w:sz="0" w:space="0" w:color="auto"/>
                  </w:divBdr>
                  <w:divsChild>
                    <w:div w:id="187790849">
                      <w:marLeft w:val="0"/>
                      <w:marRight w:val="0"/>
                      <w:marTop w:val="0"/>
                      <w:marBottom w:val="0"/>
                      <w:divBdr>
                        <w:top w:val="none" w:sz="0" w:space="0" w:color="auto"/>
                        <w:left w:val="none" w:sz="0" w:space="0" w:color="auto"/>
                        <w:bottom w:val="none" w:sz="0" w:space="0" w:color="auto"/>
                        <w:right w:val="none" w:sz="0" w:space="0" w:color="auto"/>
                      </w:divBdr>
                    </w:div>
                  </w:divsChild>
                </w:div>
                <w:div w:id="1009941972">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582404">
      <w:bodyDiv w:val="1"/>
      <w:marLeft w:val="0"/>
      <w:marRight w:val="0"/>
      <w:marTop w:val="0"/>
      <w:marBottom w:val="0"/>
      <w:divBdr>
        <w:top w:val="none" w:sz="0" w:space="0" w:color="auto"/>
        <w:left w:val="none" w:sz="0" w:space="0" w:color="auto"/>
        <w:bottom w:val="none" w:sz="0" w:space="0" w:color="auto"/>
        <w:right w:val="none" w:sz="0" w:space="0" w:color="auto"/>
      </w:divBdr>
      <w:divsChild>
        <w:div w:id="1639993451">
          <w:marLeft w:val="0"/>
          <w:marRight w:val="0"/>
          <w:marTop w:val="0"/>
          <w:marBottom w:val="0"/>
          <w:divBdr>
            <w:top w:val="none" w:sz="0" w:space="0" w:color="auto"/>
            <w:left w:val="none" w:sz="0" w:space="0" w:color="auto"/>
            <w:bottom w:val="none" w:sz="0" w:space="0" w:color="auto"/>
            <w:right w:val="none" w:sz="0" w:space="0" w:color="auto"/>
          </w:divBdr>
          <w:divsChild>
            <w:div w:id="1761368053">
              <w:marLeft w:val="0"/>
              <w:marRight w:val="0"/>
              <w:marTop w:val="0"/>
              <w:marBottom w:val="0"/>
              <w:divBdr>
                <w:top w:val="none" w:sz="0" w:space="0" w:color="auto"/>
                <w:left w:val="none" w:sz="0" w:space="0" w:color="auto"/>
                <w:bottom w:val="none" w:sz="0" w:space="0" w:color="auto"/>
                <w:right w:val="none" w:sz="0" w:space="0" w:color="auto"/>
              </w:divBdr>
              <w:divsChild>
                <w:div w:id="1497303293">
                  <w:marLeft w:val="0"/>
                  <w:marRight w:val="0"/>
                  <w:marTop w:val="0"/>
                  <w:marBottom w:val="0"/>
                  <w:divBdr>
                    <w:top w:val="none" w:sz="0" w:space="0" w:color="auto"/>
                    <w:left w:val="none" w:sz="0" w:space="0" w:color="auto"/>
                    <w:bottom w:val="none" w:sz="0" w:space="0" w:color="auto"/>
                    <w:right w:val="none" w:sz="0" w:space="0" w:color="auto"/>
                  </w:divBdr>
                  <w:divsChild>
                    <w:div w:id="9681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12350">
      <w:bodyDiv w:val="1"/>
      <w:marLeft w:val="0"/>
      <w:marRight w:val="0"/>
      <w:marTop w:val="0"/>
      <w:marBottom w:val="0"/>
      <w:divBdr>
        <w:top w:val="none" w:sz="0" w:space="0" w:color="auto"/>
        <w:left w:val="none" w:sz="0" w:space="0" w:color="auto"/>
        <w:bottom w:val="none" w:sz="0" w:space="0" w:color="auto"/>
        <w:right w:val="none" w:sz="0" w:space="0" w:color="auto"/>
      </w:divBdr>
      <w:divsChild>
        <w:div w:id="1919709364">
          <w:marLeft w:val="0"/>
          <w:marRight w:val="0"/>
          <w:marTop w:val="0"/>
          <w:marBottom w:val="0"/>
          <w:divBdr>
            <w:top w:val="none" w:sz="0" w:space="0" w:color="auto"/>
            <w:left w:val="none" w:sz="0" w:space="0" w:color="auto"/>
            <w:bottom w:val="none" w:sz="0" w:space="0" w:color="auto"/>
            <w:right w:val="none" w:sz="0" w:space="0" w:color="auto"/>
          </w:divBdr>
          <w:divsChild>
            <w:div w:id="201751564">
              <w:marLeft w:val="0"/>
              <w:marRight w:val="0"/>
              <w:marTop w:val="0"/>
              <w:marBottom w:val="0"/>
              <w:divBdr>
                <w:top w:val="none" w:sz="0" w:space="0" w:color="auto"/>
                <w:left w:val="none" w:sz="0" w:space="0" w:color="auto"/>
                <w:bottom w:val="none" w:sz="0" w:space="0" w:color="auto"/>
                <w:right w:val="none" w:sz="0" w:space="0" w:color="auto"/>
              </w:divBdr>
              <w:divsChild>
                <w:div w:id="148327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39656">
      <w:bodyDiv w:val="1"/>
      <w:marLeft w:val="0"/>
      <w:marRight w:val="0"/>
      <w:marTop w:val="0"/>
      <w:marBottom w:val="0"/>
      <w:divBdr>
        <w:top w:val="none" w:sz="0" w:space="0" w:color="auto"/>
        <w:left w:val="none" w:sz="0" w:space="0" w:color="auto"/>
        <w:bottom w:val="none" w:sz="0" w:space="0" w:color="auto"/>
        <w:right w:val="none" w:sz="0" w:space="0" w:color="auto"/>
      </w:divBdr>
      <w:divsChild>
        <w:div w:id="1739938115">
          <w:marLeft w:val="0"/>
          <w:marRight w:val="0"/>
          <w:marTop w:val="0"/>
          <w:marBottom w:val="0"/>
          <w:divBdr>
            <w:top w:val="none" w:sz="0" w:space="0" w:color="auto"/>
            <w:left w:val="none" w:sz="0" w:space="0" w:color="auto"/>
            <w:bottom w:val="none" w:sz="0" w:space="0" w:color="auto"/>
            <w:right w:val="none" w:sz="0" w:space="0" w:color="auto"/>
          </w:divBdr>
          <w:divsChild>
            <w:div w:id="172688400">
              <w:marLeft w:val="0"/>
              <w:marRight w:val="0"/>
              <w:marTop w:val="0"/>
              <w:marBottom w:val="0"/>
              <w:divBdr>
                <w:top w:val="none" w:sz="0" w:space="0" w:color="auto"/>
                <w:left w:val="none" w:sz="0" w:space="0" w:color="auto"/>
                <w:bottom w:val="none" w:sz="0" w:space="0" w:color="auto"/>
                <w:right w:val="none" w:sz="0" w:space="0" w:color="auto"/>
              </w:divBdr>
              <w:divsChild>
                <w:div w:id="19786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644394">
      <w:bodyDiv w:val="1"/>
      <w:marLeft w:val="0"/>
      <w:marRight w:val="0"/>
      <w:marTop w:val="0"/>
      <w:marBottom w:val="0"/>
      <w:divBdr>
        <w:top w:val="none" w:sz="0" w:space="0" w:color="auto"/>
        <w:left w:val="none" w:sz="0" w:space="0" w:color="auto"/>
        <w:bottom w:val="none" w:sz="0" w:space="0" w:color="auto"/>
        <w:right w:val="none" w:sz="0" w:space="0" w:color="auto"/>
      </w:divBdr>
      <w:divsChild>
        <w:div w:id="1639649204">
          <w:marLeft w:val="0"/>
          <w:marRight w:val="0"/>
          <w:marTop w:val="0"/>
          <w:marBottom w:val="0"/>
          <w:divBdr>
            <w:top w:val="none" w:sz="0" w:space="0" w:color="auto"/>
            <w:left w:val="none" w:sz="0" w:space="0" w:color="auto"/>
            <w:bottom w:val="none" w:sz="0" w:space="0" w:color="auto"/>
            <w:right w:val="none" w:sz="0" w:space="0" w:color="auto"/>
          </w:divBdr>
          <w:divsChild>
            <w:div w:id="131481770">
              <w:marLeft w:val="0"/>
              <w:marRight w:val="0"/>
              <w:marTop w:val="0"/>
              <w:marBottom w:val="0"/>
              <w:divBdr>
                <w:top w:val="none" w:sz="0" w:space="0" w:color="auto"/>
                <w:left w:val="none" w:sz="0" w:space="0" w:color="auto"/>
                <w:bottom w:val="none" w:sz="0" w:space="0" w:color="auto"/>
                <w:right w:val="none" w:sz="0" w:space="0" w:color="auto"/>
              </w:divBdr>
              <w:divsChild>
                <w:div w:id="1966964401">
                  <w:marLeft w:val="0"/>
                  <w:marRight w:val="0"/>
                  <w:marTop w:val="0"/>
                  <w:marBottom w:val="0"/>
                  <w:divBdr>
                    <w:top w:val="none" w:sz="0" w:space="0" w:color="auto"/>
                    <w:left w:val="none" w:sz="0" w:space="0" w:color="auto"/>
                    <w:bottom w:val="none" w:sz="0" w:space="0" w:color="auto"/>
                    <w:right w:val="none" w:sz="0" w:space="0" w:color="auto"/>
                  </w:divBdr>
                  <w:divsChild>
                    <w:div w:id="2068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892627">
      <w:bodyDiv w:val="1"/>
      <w:marLeft w:val="0"/>
      <w:marRight w:val="0"/>
      <w:marTop w:val="0"/>
      <w:marBottom w:val="0"/>
      <w:divBdr>
        <w:top w:val="none" w:sz="0" w:space="0" w:color="auto"/>
        <w:left w:val="none" w:sz="0" w:space="0" w:color="auto"/>
        <w:bottom w:val="none" w:sz="0" w:space="0" w:color="auto"/>
        <w:right w:val="none" w:sz="0" w:space="0" w:color="auto"/>
      </w:divBdr>
      <w:divsChild>
        <w:div w:id="1299191142">
          <w:marLeft w:val="300"/>
          <w:marRight w:val="0"/>
          <w:marTop w:val="0"/>
          <w:marBottom w:val="0"/>
          <w:divBdr>
            <w:top w:val="none" w:sz="0" w:space="0" w:color="auto"/>
            <w:left w:val="none" w:sz="0" w:space="0" w:color="auto"/>
            <w:bottom w:val="none" w:sz="0" w:space="0" w:color="auto"/>
            <w:right w:val="none" w:sz="0" w:space="0" w:color="auto"/>
          </w:divBdr>
        </w:div>
      </w:divsChild>
    </w:div>
    <w:div w:id="2101635707">
      <w:bodyDiv w:val="1"/>
      <w:marLeft w:val="0"/>
      <w:marRight w:val="0"/>
      <w:marTop w:val="0"/>
      <w:marBottom w:val="0"/>
      <w:divBdr>
        <w:top w:val="none" w:sz="0" w:space="0" w:color="auto"/>
        <w:left w:val="none" w:sz="0" w:space="0" w:color="auto"/>
        <w:bottom w:val="none" w:sz="0" w:space="0" w:color="auto"/>
        <w:right w:val="none" w:sz="0" w:space="0" w:color="auto"/>
      </w:divBdr>
      <w:divsChild>
        <w:div w:id="175193055">
          <w:marLeft w:val="0"/>
          <w:marRight w:val="0"/>
          <w:marTop w:val="0"/>
          <w:marBottom w:val="0"/>
          <w:divBdr>
            <w:top w:val="none" w:sz="0" w:space="0" w:color="auto"/>
            <w:left w:val="none" w:sz="0" w:space="0" w:color="auto"/>
            <w:bottom w:val="none" w:sz="0" w:space="0" w:color="auto"/>
            <w:right w:val="none" w:sz="0" w:space="0" w:color="auto"/>
          </w:divBdr>
          <w:divsChild>
            <w:div w:id="279724490">
              <w:marLeft w:val="0"/>
              <w:marRight w:val="0"/>
              <w:marTop w:val="0"/>
              <w:marBottom w:val="0"/>
              <w:divBdr>
                <w:top w:val="none" w:sz="0" w:space="0" w:color="auto"/>
                <w:left w:val="none" w:sz="0" w:space="0" w:color="auto"/>
                <w:bottom w:val="none" w:sz="0" w:space="0" w:color="auto"/>
                <w:right w:val="none" w:sz="0" w:space="0" w:color="auto"/>
              </w:divBdr>
              <w:divsChild>
                <w:div w:id="328559924">
                  <w:marLeft w:val="0"/>
                  <w:marRight w:val="0"/>
                  <w:marTop w:val="0"/>
                  <w:marBottom w:val="0"/>
                  <w:divBdr>
                    <w:top w:val="none" w:sz="0" w:space="0" w:color="auto"/>
                    <w:left w:val="none" w:sz="0" w:space="0" w:color="auto"/>
                    <w:bottom w:val="none" w:sz="0" w:space="0" w:color="auto"/>
                    <w:right w:val="none" w:sz="0" w:space="0" w:color="auto"/>
                  </w:divBdr>
                  <w:divsChild>
                    <w:div w:id="19761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08/S1479-363620140000003024" TargetMode="External"/><Relationship Id="rId3" Type="http://schemas.openxmlformats.org/officeDocument/2006/relationships/settings" Target="settings.xml"/><Relationship Id="rId7" Type="http://schemas.openxmlformats.org/officeDocument/2006/relationships/hyperlink" Target="https://psycnet.apa.org/doi/10.1080/08856257.2021.19611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ilim.fr/pour-un-accompagnement-plus-inclusif-le-projet-cap-tnd-a-luniversite-de-limoges/"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01443410.2018.147221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19</Pages>
  <Words>10155</Words>
  <Characters>55856</Characters>
  <Application>Microsoft Office Word</Application>
  <DocSecurity>0</DocSecurity>
  <Lines>465</Lines>
  <Paragraphs>131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auteur</dc:creator>
  <cp:keywords/>
  <dc:description/>
  <cp:lastModifiedBy>auteur</cp:lastModifiedBy>
  <cp:revision>6</cp:revision>
  <dcterms:created xsi:type="dcterms:W3CDTF">2026-04-01T09:44:00Z</dcterms:created>
  <dcterms:modified xsi:type="dcterms:W3CDTF">2026-04-01T21:48:00Z</dcterms:modified>
</cp:coreProperties>
</file>